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A2DA" w14:textId="761D351D" w:rsidR="00CB0D9F" w:rsidRPr="00557811" w:rsidRDefault="00986489" w:rsidP="00F33B91">
      <w:pPr>
        <w:snapToGrid w:val="0"/>
        <w:spacing w:after="0"/>
        <w:rPr>
          <w:rFonts w:ascii="Verdana" w:hAnsi="Verdana"/>
          <w:b/>
          <w:szCs w:val="21"/>
        </w:rPr>
      </w:pPr>
      <w:r w:rsidRPr="00986489">
        <w:rPr>
          <w:rFonts w:ascii="Verdana" w:hAnsi="Verdana"/>
          <w:b/>
          <w:szCs w:val="21"/>
        </w:rPr>
        <w:t>„Citus“ ekspertai ieško, kas leistų „atšokti“ būsto rinkai: spalį Vilniuje – dvigubai daugiau sandorių, o tikėtina priežastis – viena</w:t>
      </w:r>
    </w:p>
    <w:p w14:paraId="46D0FC66" w14:textId="184BDFD8" w:rsidR="00C35436" w:rsidRPr="00557811" w:rsidRDefault="00B41BA4" w:rsidP="00097BCF">
      <w:pPr>
        <w:snapToGrid w:val="0"/>
        <w:spacing w:after="0"/>
        <w:jc w:val="left"/>
        <w:rPr>
          <w:rFonts w:ascii="Verdana" w:hAnsi="Verdana" w:cs="Open Sans Light"/>
          <w:i/>
          <w:color w:val="000000" w:themeColor="text1"/>
          <w:sz w:val="16"/>
          <w:szCs w:val="16"/>
        </w:rPr>
      </w:pPr>
      <w:r w:rsidRPr="00557811">
        <w:rPr>
          <w:rFonts w:ascii="Verdana" w:hAnsi="Verdana" w:cs="Open Sans Light"/>
          <w:i/>
          <w:color w:val="000000" w:themeColor="text1"/>
          <w:sz w:val="16"/>
          <w:szCs w:val="16"/>
        </w:rPr>
        <w:t>202</w:t>
      </w:r>
      <w:r w:rsidR="00097BCF" w:rsidRPr="00557811">
        <w:rPr>
          <w:rFonts w:ascii="Verdana" w:hAnsi="Verdana" w:cs="Open Sans Light"/>
          <w:i/>
          <w:color w:val="000000" w:themeColor="text1"/>
          <w:sz w:val="16"/>
          <w:szCs w:val="16"/>
        </w:rPr>
        <w:t>2</w:t>
      </w:r>
      <w:r w:rsidRPr="00557811">
        <w:rPr>
          <w:rFonts w:ascii="Verdana" w:hAnsi="Verdana" w:cs="Open Sans Light"/>
          <w:i/>
          <w:color w:val="000000" w:themeColor="text1"/>
          <w:sz w:val="16"/>
          <w:szCs w:val="16"/>
        </w:rPr>
        <w:t xml:space="preserve"> m. </w:t>
      </w:r>
      <w:r w:rsidR="00986489">
        <w:rPr>
          <w:rFonts w:ascii="Verdana" w:hAnsi="Verdana" w:cs="Open Sans Light"/>
          <w:i/>
          <w:color w:val="000000" w:themeColor="text1"/>
          <w:sz w:val="16"/>
          <w:szCs w:val="16"/>
        </w:rPr>
        <w:t>lapkričio</w:t>
      </w:r>
      <w:r w:rsidRPr="00557811">
        <w:rPr>
          <w:rFonts w:ascii="Verdana" w:hAnsi="Verdana" w:cs="Open Sans Light"/>
          <w:i/>
          <w:color w:val="000000" w:themeColor="text1"/>
          <w:sz w:val="16"/>
          <w:szCs w:val="16"/>
        </w:rPr>
        <w:t xml:space="preserve"> </w:t>
      </w:r>
      <w:r w:rsidR="00986489">
        <w:rPr>
          <w:rFonts w:ascii="Verdana" w:hAnsi="Verdana" w:cs="Open Sans Light"/>
          <w:i/>
          <w:color w:val="000000" w:themeColor="text1"/>
          <w:sz w:val="16"/>
          <w:szCs w:val="16"/>
        </w:rPr>
        <w:t>7</w:t>
      </w:r>
      <w:r w:rsidRPr="00557811">
        <w:rPr>
          <w:rFonts w:ascii="Verdana" w:hAnsi="Verdana" w:cs="Open Sans Light"/>
          <w:i/>
          <w:color w:val="000000" w:themeColor="text1"/>
          <w:sz w:val="16"/>
          <w:szCs w:val="16"/>
        </w:rPr>
        <w:t xml:space="preserve"> d.</w:t>
      </w:r>
    </w:p>
    <w:p w14:paraId="48F4F2C2" w14:textId="77777777" w:rsidR="00B41BA4" w:rsidRPr="00557811" w:rsidRDefault="00B41BA4" w:rsidP="000C466A">
      <w:pPr>
        <w:snapToGrid w:val="0"/>
        <w:spacing w:after="0"/>
        <w:rPr>
          <w:rFonts w:ascii="Verdana" w:hAnsi="Verdana" w:cstheme="majorHAnsi"/>
          <w:color w:val="000000" w:themeColor="text1"/>
          <w:sz w:val="18"/>
          <w:szCs w:val="18"/>
        </w:rPr>
      </w:pPr>
    </w:p>
    <w:p w14:paraId="3754BAC5" w14:textId="77777777" w:rsidR="00986489" w:rsidRPr="00986489" w:rsidRDefault="00986489" w:rsidP="00986489">
      <w:pPr>
        <w:pBdr>
          <w:bottom w:val="single" w:sz="8" w:space="1" w:color="FFC000"/>
        </w:pBdr>
        <w:rPr>
          <w:rFonts w:ascii="Verdana" w:eastAsia="Verdana" w:hAnsi="Verdana" w:cs="Verdana"/>
          <w:b/>
          <w:bCs/>
          <w:sz w:val="18"/>
          <w:szCs w:val="18"/>
        </w:rPr>
      </w:pPr>
      <w:r w:rsidRPr="00986489">
        <w:rPr>
          <w:rFonts w:ascii="Verdana" w:eastAsia="Verdana" w:hAnsi="Verdana" w:cs="Verdana"/>
          <w:b/>
          <w:bCs/>
          <w:sz w:val="18"/>
          <w:szCs w:val="18"/>
        </w:rPr>
        <w:t>Išankstiniais NT paslaugų įmonės „Citus“ analitikų duomenimis, paskutinis metų ketvirtis didžiųjų miestų būsto rinkoje prasidėjo pozityviai. Vilniuje per spalio mėnesį užfiksuota daugiau nei dvigubai gausesnis susitarimų dėl naujų būstų (butų ir kotedžų) derlius – 225. Kaune rezultatas taip pat geresnis – 58. Atitinkamai, rugsėjį šiuose miestuose fiksuoti 108 ir 36 sandoriai.</w:t>
      </w:r>
    </w:p>
    <w:p w14:paraId="7C9FE61E" w14:textId="122D5FF4" w:rsidR="00986489" w:rsidRPr="00986489" w:rsidRDefault="00986489" w:rsidP="00986489">
      <w:pPr>
        <w:pBdr>
          <w:bottom w:val="single" w:sz="8" w:space="1" w:color="FFC000"/>
        </w:pBdr>
        <w:rPr>
          <w:rFonts w:ascii="Verdana" w:eastAsia="Verdana" w:hAnsi="Verdana" w:cs="Verdana"/>
          <w:sz w:val="18"/>
          <w:szCs w:val="18"/>
        </w:rPr>
      </w:pPr>
      <w:r w:rsidRPr="00986489">
        <w:rPr>
          <w:rFonts w:ascii="Verdana" w:eastAsia="Verdana" w:hAnsi="Verdana" w:cs="Verdana"/>
          <w:sz w:val="18"/>
          <w:szCs w:val="18"/>
        </w:rPr>
        <w:t>Pirkėjų aktyvumas paskatino ir kainas grįžti į ankstesnę trajektoriją: Vilniuje vidutinės pirminės rinkos pasiūloje esančių butų kainos padidėjo 3 proc. (nuo 3 194 iki 3 290 Eur/kv. m), Kaune – kiek kukliau, 1,3 proc. (nuo 2 284 iki 2 313 Eur/kv. m).</w:t>
      </w:r>
    </w:p>
    <w:p w14:paraId="14906440" w14:textId="0525DA7B" w:rsidR="00557811" w:rsidRPr="00557811" w:rsidRDefault="00557811" w:rsidP="00986489">
      <w:pPr>
        <w:pBdr>
          <w:bottom w:val="single" w:sz="8" w:space="1" w:color="FFC000"/>
        </w:pBdr>
        <w:jc w:val="center"/>
        <w:rPr>
          <w:rFonts w:ascii="Verdana" w:eastAsia="Verdana" w:hAnsi="Verdana" w:cs="Verdana"/>
          <w:sz w:val="18"/>
          <w:szCs w:val="18"/>
        </w:rPr>
      </w:pPr>
      <w:r w:rsidRPr="00557811">
        <w:rPr>
          <w:rFonts w:ascii="Verdana" w:eastAsia="Verdana" w:hAnsi="Verdana" w:cs="Verdana"/>
          <w:noProof/>
          <w:sz w:val="18"/>
          <w:szCs w:val="18"/>
        </w:rPr>
        <w:drawing>
          <wp:inline distT="0" distB="0" distL="0" distR="0" wp14:anchorId="45BCA48F" wp14:editId="27F735A8">
            <wp:extent cx="6120000" cy="2471389"/>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2471389"/>
                    </a:xfrm>
                    <a:prstGeom prst="rect">
                      <a:avLst/>
                    </a:prstGeom>
                  </pic:spPr>
                </pic:pic>
              </a:graphicData>
            </a:graphic>
          </wp:inline>
        </w:drawing>
      </w:r>
    </w:p>
    <w:p w14:paraId="3B91A257" w14:textId="49AE0C1B" w:rsidR="00557811" w:rsidRPr="00557811" w:rsidRDefault="00557811" w:rsidP="00557811">
      <w:pPr>
        <w:pBdr>
          <w:bottom w:val="single" w:sz="8" w:space="1" w:color="FFC000"/>
        </w:pBdr>
        <w:jc w:val="right"/>
        <w:rPr>
          <w:rFonts w:ascii="Verdana" w:eastAsia="Verdana" w:hAnsi="Verdana" w:cs="Verdana"/>
          <w:i/>
          <w:iCs/>
          <w:sz w:val="15"/>
          <w:szCs w:val="15"/>
        </w:rPr>
      </w:pPr>
      <w:r w:rsidRPr="00557811">
        <w:rPr>
          <w:rFonts w:ascii="Verdana" w:eastAsia="Verdana" w:hAnsi="Verdana" w:cs="Verdana"/>
          <w:i/>
          <w:iCs/>
          <w:sz w:val="15"/>
          <w:szCs w:val="15"/>
        </w:rPr>
        <w:t xml:space="preserve">Grafikas nr. 1: </w:t>
      </w:r>
      <w:r w:rsidR="00986489" w:rsidRPr="00557811">
        <w:rPr>
          <w:rFonts w:ascii="Verdana" w:eastAsia="Verdana" w:hAnsi="Verdana" w:cs="Verdana"/>
          <w:i/>
          <w:iCs/>
          <w:sz w:val="15"/>
          <w:szCs w:val="15"/>
        </w:rPr>
        <w:t>Vidutinių pasiūlos kainų dinamika Vilniaus ir Kauno būsto rinkose 2020–2022 m. („Citus“ duom.)</w:t>
      </w:r>
    </w:p>
    <w:p w14:paraId="6E66C77F" w14:textId="77777777" w:rsidR="00986489" w:rsidRPr="00986489" w:rsidRDefault="00986489" w:rsidP="00986489">
      <w:pPr>
        <w:pBdr>
          <w:bottom w:val="single" w:sz="8" w:space="1" w:color="FFC000"/>
        </w:pBdr>
        <w:rPr>
          <w:rFonts w:ascii="Verdana" w:eastAsia="Verdana" w:hAnsi="Verdana" w:cs="Verdana"/>
          <w:sz w:val="18"/>
          <w:szCs w:val="18"/>
        </w:rPr>
      </w:pPr>
      <w:r w:rsidRPr="00986489">
        <w:rPr>
          <w:rFonts w:ascii="Verdana" w:eastAsia="Verdana" w:hAnsi="Verdana" w:cs="Verdana"/>
          <w:sz w:val="18"/>
          <w:szCs w:val="18"/>
        </w:rPr>
        <w:t xml:space="preserve">„Tokį gyvybingą rinkos suspurdėjimą sostinėje vertinu iš dviejų perspektyvų – vartotojų elgsenos ir statistinės. Pastaruosius kelis mėnesius atsargiai tikriname hipotezę, paremtą pirkėjų elgsena ir jos dinamika, veikiant skirtingiems rinkos faktoriams. Matome, kad susidomėjimas naujais būstais, lyginant su metų pradžia, yra sumažėjęs gerokai mažiau nei krito sandorių skaičius. Vadinasi, šis rodiklis neatspindi realios paklausos. Žinoma, karas, energinių išteklių kainų šokas, </w:t>
      </w:r>
      <w:proofErr w:type="spellStart"/>
      <w:r w:rsidRPr="00986489">
        <w:rPr>
          <w:rFonts w:ascii="Verdana" w:eastAsia="Verdana" w:hAnsi="Verdana" w:cs="Verdana"/>
          <w:sz w:val="18"/>
          <w:szCs w:val="18"/>
        </w:rPr>
        <w:t>Euribor</w:t>
      </w:r>
      <w:proofErr w:type="spellEnd"/>
      <w:r w:rsidRPr="00986489">
        <w:rPr>
          <w:rFonts w:ascii="Verdana" w:eastAsia="Verdana" w:hAnsi="Verdana" w:cs="Verdana"/>
          <w:sz w:val="18"/>
          <w:szCs w:val="18"/>
        </w:rPr>
        <w:t xml:space="preserve"> augimas ir kiti veiksniai paliko savo žymę, mano įsitikinimu, dvi priežastys buvo kritinės reikšmės“, – kalba „Citus“ investicijų ir analizės vadovas Šarūnas Tarutis.</w:t>
      </w:r>
    </w:p>
    <w:p w14:paraId="4779F0AA" w14:textId="1B680F5C" w:rsidR="00986489" w:rsidRDefault="00986489" w:rsidP="00986489">
      <w:pPr>
        <w:pBdr>
          <w:bottom w:val="single" w:sz="8" w:space="1" w:color="FFC000"/>
        </w:pBdr>
        <w:rPr>
          <w:rFonts w:ascii="Verdana" w:eastAsia="Verdana" w:hAnsi="Verdana" w:cs="Verdana"/>
          <w:sz w:val="18"/>
          <w:szCs w:val="18"/>
        </w:rPr>
      </w:pPr>
      <w:r w:rsidRPr="00986489">
        <w:rPr>
          <w:rFonts w:ascii="Verdana" w:eastAsia="Verdana" w:hAnsi="Verdana" w:cs="Verdana"/>
          <w:sz w:val="18"/>
          <w:szCs w:val="18"/>
        </w:rPr>
        <w:t>Jo teigimu, paskutinius dvejus metus pasiūla Vilniuje buvo rekordiškai maža – net deficitinė. Joje dar dalis pasirinkimo buvo „užsistovėjusi“ – senuose projektuose ar mažesnio patrauklumo pasiūlymai. Ir būtent spalį matome, kad vos tik plėtotojams pavyko į rinką įlieti naujų projektų, iš karto šoktelėjo sandoriai: norinčiųjų pirkti vis dar yra daug, tik didžioji jų dalis laukia būtent savo būsto, atitinkančio jų poreikius.</w:t>
      </w:r>
    </w:p>
    <w:p w14:paraId="43E67639" w14:textId="4A460720" w:rsidR="00557811" w:rsidRDefault="00623B06" w:rsidP="00986489">
      <w:pPr>
        <w:pBdr>
          <w:bottom w:val="single" w:sz="8" w:space="1" w:color="FFC000"/>
        </w:pBdr>
        <w:jc w:val="center"/>
        <w:rPr>
          <w:rFonts w:ascii="Verdana" w:eastAsia="Verdana" w:hAnsi="Verdana" w:cs="Verdana"/>
          <w:sz w:val="18"/>
          <w:szCs w:val="18"/>
        </w:rPr>
      </w:pPr>
      <w:r w:rsidRPr="00623B06">
        <w:rPr>
          <w:rFonts w:ascii="Verdana" w:eastAsia="Verdana" w:hAnsi="Verdana" w:cs="Verdana"/>
          <w:noProof/>
          <w:sz w:val="18"/>
          <w:szCs w:val="18"/>
        </w:rPr>
        <w:drawing>
          <wp:inline distT="0" distB="0" distL="0" distR="0" wp14:anchorId="24CD797A" wp14:editId="0E1E76B4">
            <wp:extent cx="6120000" cy="2663226"/>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2663226"/>
                    </a:xfrm>
                    <a:prstGeom prst="rect">
                      <a:avLst/>
                    </a:prstGeom>
                  </pic:spPr>
                </pic:pic>
              </a:graphicData>
            </a:graphic>
          </wp:inline>
        </w:drawing>
      </w:r>
    </w:p>
    <w:p w14:paraId="7B8C2453" w14:textId="0F5F0816" w:rsidR="00623B06" w:rsidRPr="00623B06" w:rsidRDefault="00623B06" w:rsidP="00623B06">
      <w:pPr>
        <w:pBdr>
          <w:bottom w:val="single" w:sz="8" w:space="1" w:color="FFC000"/>
        </w:pBdr>
        <w:jc w:val="right"/>
        <w:rPr>
          <w:rFonts w:ascii="Verdana" w:eastAsia="Verdana" w:hAnsi="Verdana" w:cs="Verdana"/>
          <w:i/>
          <w:iCs/>
          <w:sz w:val="15"/>
          <w:szCs w:val="15"/>
        </w:rPr>
      </w:pPr>
      <w:r w:rsidRPr="00623B06">
        <w:rPr>
          <w:rFonts w:ascii="Verdana" w:eastAsia="Verdana" w:hAnsi="Verdana" w:cs="Verdana"/>
          <w:i/>
          <w:iCs/>
          <w:sz w:val="15"/>
          <w:szCs w:val="15"/>
        </w:rPr>
        <w:t xml:space="preserve">Grafikas nr. </w:t>
      </w:r>
      <w:r>
        <w:rPr>
          <w:rFonts w:ascii="Verdana" w:eastAsia="Verdana" w:hAnsi="Verdana" w:cs="Verdana"/>
          <w:i/>
          <w:iCs/>
          <w:sz w:val="15"/>
          <w:szCs w:val="15"/>
        </w:rPr>
        <w:t>2</w:t>
      </w:r>
      <w:r w:rsidRPr="00623B06">
        <w:rPr>
          <w:rFonts w:ascii="Verdana" w:eastAsia="Verdana" w:hAnsi="Verdana" w:cs="Verdana"/>
          <w:i/>
          <w:iCs/>
          <w:sz w:val="15"/>
          <w:szCs w:val="15"/>
        </w:rPr>
        <w:t xml:space="preserve">: </w:t>
      </w:r>
      <w:r w:rsidR="00986489" w:rsidRPr="00557811">
        <w:rPr>
          <w:rFonts w:ascii="Verdana" w:eastAsia="Verdana" w:hAnsi="Verdana" w:cs="Verdana"/>
          <w:i/>
          <w:iCs/>
          <w:sz w:val="15"/>
          <w:szCs w:val="15"/>
        </w:rPr>
        <w:t>Vilniaus būsto rinkos dinamika 2020–2022 m. („Citus“ duom.)</w:t>
      </w:r>
    </w:p>
    <w:p w14:paraId="216E9D70" w14:textId="6D2503C7" w:rsidR="00657348" w:rsidRPr="00557811" w:rsidRDefault="00986489" w:rsidP="00657348">
      <w:pPr>
        <w:pBdr>
          <w:bottom w:val="single" w:sz="8" w:space="1" w:color="FFC000"/>
        </w:pBdr>
        <w:rPr>
          <w:rFonts w:ascii="Verdana" w:eastAsia="Verdana" w:hAnsi="Verdana" w:cs="Verdana"/>
          <w:sz w:val="18"/>
          <w:szCs w:val="18"/>
        </w:rPr>
      </w:pPr>
      <w:r w:rsidRPr="00986489">
        <w:rPr>
          <w:rFonts w:ascii="Verdana" w:eastAsia="Verdana" w:hAnsi="Verdana" w:cs="Verdana"/>
          <w:sz w:val="18"/>
          <w:szCs w:val="18"/>
        </w:rPr>
        <w:t xml:space="preserve">„Citus“ analitikų duomenimis, Vilniuje spalio gale naujų būstų asortimentą sudarė 4 026 butai ir kotedžai – 6,4 proc. daugiau nei rugsėjį (3 784), o pirkėjams buvo pasiūlyta net 10 naujų projektų bei jų etapų. Tai yra 334 </w:t>
      </w:r>
      <w:r w:rsidRPr="00986489">
        <w:rPr>
          <w:rFonts w:ascii="Verdana" w:eastAsia="Verdana" w:hAnsi="Verdana" w:cs="Verdana"/>
          <w:sz w:val="18"/>
          <w:szCs w:val="18"/>
        </w:rPr>
        <w:lastRenderedPageBreak/>
        <w:t>butai ir 60 kotedžų keturiuose visiškai naujuose projektuose ir šešiuose naujuose anksčiau pradėtų plėtoti projektų etapuose. Dėl augančių būsto kainų Vilniuje jau kurį laiką vidutinio segmento būstų asortimentas lenkia ekonominės klasės būstų pasiūlą: spalį sostinėje buvo siūloma 1 479 ekonominio segmento ir 1 947 vidutinio segmento būstų. Panaši situacija ir su prestižiniu bei liukso segmentais: jų pasiūla, atitinkamai, sudarė 211 ir 324 vienetus, tačiau ir toliau išliko žema.</w:t>
      </w:r>
    </w:p>
    <w:p w14:paraId="180AD7AB" w14:textId="0A4A6E6D" w:rsidR="00341E5B" w:rsidRPr="00557811" w:rsidRDefault="00557811" w:rsidP="00986489">
      <w:pPr>
        <w:pBdr>
          <w:bottom w:val="single" w:sz="8" w:space="1" w:color="FFC000"/>
        </w:pBdr>
        <w:jc w:val="center"/>
        <w:rPr>
          <w:rFonts w:ascii="Verdana" w:eastAsia="Verdana" w:hAnsi="Verdana" w:cs="Verdana"/>
          <w:sz w:val="18"/>
          <w:szCs w:val="18"/>
        </w:rPr>
      </w:pPr>
      <w:r w:rsidRPr="00557811">
        <w:rPr>
          <w:rFonts w:ascii="Verdana" w:eastAsia="Verdana" w:hAnsi="Verdana" w:cs="Verdana"/>
          <w:noProof/>
          <w:sz w:val="18"/>
          <w:szCs w:val="18"/>
        </w:rPr>
        <w:drawing>
          <wp:inline distT="0" distB="0" distL="0" distR="0" wp14:anchorId="647B0AFC" wp14:editId="21335651">
            <wp:extent cx="6120000" cy="2853166"/>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000" cy="2853166"/>
                    </a:xfrm>
                    <a:prstGeom prst="rect">
                      <a:avLst/>
                    </a:prstGeom>
                  </pic:spPr>
                </pic:pic>
              </a:graphicData>
            </a:graphic>
          </wp:inline>
        </w:drawing>
      </w:r>
    </w:p>
    <w:p w14:paraId="1741142E" w14:textId="00949D45" w:rsidR="00557811" w:rsidRPr="00557811" w:rsidRDefault="00557811" w:rsidP="00557811">
      <w:pPr>
        <w:pBdr>
          <w:bottom w:val="single" w:sz="8" w:space="1" w:color="FFC000"/>
        </w:pBdr>
        <w:jc w:val="right"/>
        <w:rPr>
          <w:rFonts w:ascii="Verdana" w:eastAsia="Verdana" w:hAnsi="Verdana" w:cs="Verdana"/>
          <w:i/>
          <w:iCs/>
          <w:sz w:val="15"/>
          <w:szCs w:val="15"/>
        </w:rPr>
      </w:pPr>
      <w:r w:rsidRPr="00557811">
        <w:rPr>
          <w:rFonts w:ascii="Verdana" w:eastAsia="Verdana" w:hAnsi="Verdana" w:cs="Verdana"/>
          <w:i/>
          <w:iCs/>
          <w:sz w:val="15"/>
          <w:szCs w:val="15"/>
        </w:rPr>
        <w:t xml:space="preserve">Grafikas nr. </w:t>
      </w:r>
      <w:r>
        <w:rPr>
          <w:rFonts w:ascii="Verdana" w:eastAsia="Verdana" w:hAnsi="Verdana" w:cs="Verdana"/>
          <w:i/>
          <w:iCs/>
          <w:sz w:val="15"/>
          <w:szCs w:val="15"/>
        </w:rPr>
        <w:t>3</w:t>
      </w:r>
      <w:r w:rsidRPr="00557811">
        <w:rPr>
          <w:rFonts w:ascii="Verdana" w:eastAsia="Verdana" w:hAnsi="Verdana" w:cs="Verdana"/>
          <w:i/>
          <w:iCs/>
          <w:sz w:val="15"/>
          <w:szCs w:val="15"/>
        </w:rPr>
        <w:t xml:space="preserve">: </w:t>
      </w:r>
      <w:r w:rsidR="00986489" w:rsidRPr="00557811">
        <w:rPr>
          <w:rFonts w:ascii="Verdana" w:eastAsia="Verdana" w:hAnsi="Verdana" w:cs="Verdana"/>
          <w:i/>
          <w:iCs/>
          <w:sz w:val="15"/>
          <w:szCs w:val="15"/>
        </w:rPr>
        <w:t>Kauno būsto rinkos dinamika 2020–2022 m. („Citus“ duom.)</w:t>
      </w:r>
    </w:p>
    <w:p w14:paraId="20B383EB" w14:textId="728FBE2C" w:rsidR="00EF4703" w:rsidRDefault="00986489" w:rsidP="00F86C2A">
      <w:pPr>
        <w:pBdr>
          <w:bottom w:val="single" w:sz="8" w:space="1" w:color="FFC000"/>
        </w:pBdr>
        <w:rPr>
          <w:rFonts w:ascii="Verdana" w:eastAsia="Verdana" w:hAnsi="Verdana" w:cs="Verdana"/>
          <w:sz w:val="18"/>
          <w:szCs w:val="18"/>
        </w:rPr>
      </w:pPr>
      <w:r w:rsidRPr="00986489">
        <w:rPr>
          <w:rFonts w:ascii="Verdana" w:eastAsia="Verdana" w:hAnsi="Verdana" w:cs="Verdana"/>
          <w:sz w:val="18"/>
          <w:szCs w:val="18"/>
        </w:rPr>
        <w:t>Laikinojoje sostinėje pasiūla pasipildė mažiau: spalį rinkoje pasirodė 2 nauji projektai, o juose – 40 butų ir 14 kotedžų. Bendrą sandėlį praėjusio mėnesio gale sudarė 1 281 būstai ir per mėnesį pasipildė minimaliai – rugsėjį pirkėjai rinktis galėjo iš 1 272 būstų. Ekonominio ir vidutinio segmento būstų pasiūloje buvo beveik tiek pat – atitinkamai, 526 ir 528, o prestižinio – 200 būstų. Liukso klasės projektų Kaune šiuo metu „Citus“ analitikai nefiksuoja.</w:t>
      </w:r>
    </w:p>
    <w:p w14:paraId="56365465" w14:textId="69C44413" w:rsidR="00557811" w:rsidRDefault="00557811" w:rsidP="00986489">
      <w:pPr>
        <w:pBdr>
          <w:bottom w:val="single" w:sz="8" w:space="1" w:color="FFC000"/>
        </w:pBdr>
        <w:jc w:val="center"/>
        <w:rPr>
          <w:rFonts w:ascii="Verdana" w:eastAsia="Verdana" w:hAnsi="Verdana" w:cs="Verdana"/>
          <w:sz w:val="18"/>
          <w:szCs w:val="18"/>
        </w:rPr>
      </w:pPr>
      <w:r w:rsidRPr="00557811">
        <w:rPr>
          <w:rFonts w:ascii="Verdana" w:eastAsia="Verdana" w:hAnsi="Verdana" w:cs="Verdana"/>
          <w:noProof/>
          <w:sz w:val="18"/>
          <w:szCs w:val="18"/>
        </w:rPr>
        <w:drawing>
          <wp:inline distT="0" distB="0" distL="0" distR="0" wp14:anchorId="46FC0538" wp14:editId="775DE2DA">
            <wp:extent cx="6120000" cy="26312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2631210"/>
                    </a:xfrm>
                    <a:prstGeom prst="rect">
                      <a:avLst/>
                    </a:prstGeom>
                  </pic:spPr>
                </pic:pic>
              </a:graphicData>
            </a:graphic>
          </wp:inline>
        </w:drawing>
      </w:r>
    </w:p>
    <w:p w14:paraId="297472E2" w14:textId="13D23CE5" w:rsidR="00557811" w:rsidRPr="00557811" w:rsidRDefault="00557811" w:rsidP="00557811">
      <w:pPr>
        <w:pBdr>
          <w:bottom w:val="single" w:sz="8" w:space="1" w:color="FFC000"/>
        </w:pBdr>
        <w:jc w:val="right"/>
        <w:rPr>
          <w:rFonts w:ascii="Verdana" w:eastAsia="Verdana" w:hAnsi="Verdana" w:cs="Verdana"/>
          <w:i/>
          <w:iCs/>
          <w:sz w:val="15"/>
          <w:szCs w:val="15"/>
        </w:rPr>
      </w:pPr>
      <w:r w:rsidRPr="00557811">
        <w:rPr>
          <w:rFonts w:ascii="Verdana" w:eastAsia="Verdana" w:hAnsi="Verdana" w:cs="Verdana"/>
          <w:i/>
          <w:iCs/>
          <w:sz w:val="15"/>
          <w:szCs w:val="15"/>
        </w:rPr>
        <w:t xml:space="preserve">Grafikas nr. </w:t>
      </w:r>
      <w:r>
        <w:rPr>
          <w:rFonts w:ascii="Verdana" w:eastAsia="Verdana" w:hAnsi="Verdana" w:cs="Verdana"/>
          <w:i/>
          <w:iCs/>
          <w:sz w:val="15"/>
          <w:szCs w:val="15"/>
        </w:rPr>
        <w:t>4</w:t>
      </w:r>
      <w:r w:rsidRPr="00557811">
        <w:rPr>
          <w:rFonts w:ascii="Verdana" w:eastAsia="Verdana" w:hAnsi="Verdana" w:cs="Verdana"/>
          <w:i/>
          <w:iCs/>
          <w:sz w:val="15"/>
          <w:szCs w:val="15"/>
        </w:rPr>
        <w:t xml:space="preserve">: </w:t>
      </w:r>
      <w:r w:rsidR="00986489" w:rsidRPr="00623B06">
        <w:rPr>
          <w:rFonts w:ascii="Verdana" w:eastAsia="Verdana" w:hAnsi="Verdana" w:cs="Verdana"/>
          <w:i/>
          <w:iCs/>
          <w:sz w:val="15"/>
          <w:szCs w:val="15"/>
        </w:rPr>
        <w:t>Pasiūlos dinamika Vilniaus ir Kauno būsto rinkose 2020–2022 m. („Citus“ duom.)</w:t>
      </w:r>
    </w:p>
    <w:p w14:paraId="470E991D" w14:textId="77777777" w:rsidR="00986489" w:rsidRPr="00986489" w:rsidRDefault="00986489" w:rsidP="00986489">
      <w:pPr>
        <w:pBdr>
          <w:bottom w:val="single" w:sz="8" w:space="1" w:color="FFC000"/>
        </w:pBdr>
        <w:rPr>
          <w:rFonts w:ascii="Verdana" w:hAnsi="Verdana"/>
          <w:sz w:val="18"/>
          <w:szCs w:val="20"/>
        </w:rPr>
      </w:pPr>
      <w:r w:rsidRPr="00986489">
        <w:rPr>
          <w:rFonts w:ascii="Verdana" w:hAnsi="Verdana"/>
          <w:sz w:val="18"/>
          <w:szCs w:val="20"/>
        </w:rPr>
        <w:t>Kita galima rinkos suaktyvėjimo priežastis – paradoksali: pagal pirkėjų lūkesčius nesikeičianti kaina. Dalis pirkėjų, pasak rinkos eksperto, sulaukę naujų projektų, kuriuose įsivaizdavo savo svajonių namus, „atsimušė“ į kainų lubas – starto kaina, galimai, buvo aukštesnė nei jie tikėjosi. Tokiu atveju, yra tikimybė, kad kai kurie vėl atsigręžė į anksčiau apžiūrėtus, vertintus projektus, todėl pajudėjo ir seniau sandėlyje laukę būstai. Yra tikimybė, kad būtent dalyje jų buvo stebimos praėjusių dviejų mėnesių kainų korekcijas.</w:t>
      </w:r>
    </w:p>
    <w:p w14:paraId="1614C20F" w14:textId="77777777" w:rsidR="00986489" w:rsidRPr="00986489" w:rsidRDefault="00986489" w:rsidP="00986489">
      <w:pPr>
        <w:pBdr>
          <w:bottom w:val="single" w:sz="8" w:space="1" w:color="FFC000"/>
        </w:pBdr>
        <w:rPr>
          <w:rFonts w:ascii="Verdana" w:hAnsi="Verdana"/>
          <w:sz w:val="18"/>
          <w:szCs w:val="20"/>
        </w:rPr>
      </w:pPr>
      <w:r w:rsidRPr="00986489">
        <w:rPr>
          <w:rFonts w:ascii="Verdana" w:hAnsi="Verdana"/>
          <w:sz w:val="18"/>
          <w:szCs w:val="20"/>
        </w:rPr>
        <w:t>Antroji paklausos augimo spalį analizės perspektyva indikuoja, kad šį šuolį sąlygojo fiksuoti didesni rezultatai kai kuriuose projektuose: vienur tai buvo labai sėkminga naujo etapo pradžia, kitur – statistinis naujų sutarčių „sukritimas“. Aktyvioje rinkoje, kai per mėnesį analitikai rinkoje registruodavo 600–800 sandorių, tokie pikai atskiruose projektuose susiniveliuoja. Sumažėjus rinkai jie jau sukelia reikšmingą poveikį rezultatams.</w:t>
      </w:r>
    </w:p>
    <w:p w14:paraId="3ACFCDE6" w14:textId="356568BB" w:rsidR="00112445" w:rsidRDefault="00986489" w:rsidP="00986489">
      <w:pPr>
        <w:pBdr>
          <w:bottom w:val="single" w:sz="8" w:space="1" w:color="FFC000"/>
        </w:pBdr>
        <w:rPr>
          <w:rFonts w:ascii="Verdana" w:hAnsi="Verdana"/>
          <w:sz w:val="18"/>
          <w:szCs w:val="20"/>
        </w:rPr>
      </w:pPr>
      <w:r w:rsidRPr="00986489">
        <w:rPr>
          <w:rFonts w:ascii="Verdana" w:hAnsi="Verdana"/>
          <w:sz w:val="18"/>
          <w:szCs w:val="20"/>
        </w:rPr>
        <w:t xml:space="preserve">„Taškinis vertinimas suponuotų, kad atvejis gali būti unikalus ir augimas taps išimtimi bei, galimai, nevirs tendencija. Ir taip gali būti, nes aukšto neapibrėžtumo periodu reikia vertinti ilgesnį laikotarpį, nes „amerikietiški </w:t>
      </w:r>
      <w:r w:rsidRPr="00986489">
        <w:rPr>
          <w:rFonts w:ascii="Verdana" w:hAnsi="Verdana"/>
          <w:sz w:val="18"/>
          <w:szCs w:val="20"/>
        </w:rPr>
        <w:lastRenderedPageBreak/>
        <w:t>kalneliai“ yra natūralus reiškinys. Visgi būčiau linkęs manyti, kad tai nebuvo statistinis atsitiktinumas. Žmonės rudenį laukė kažkokio baubo, kuris užklups visą ekonomiką, arba tikėjosi ryškių kainų pokyčių. Tačiau neįvyko nei viena, nei kita, be to, pasipildė pasiūla, o būsto poreikis niekur nedingo – todėl pirkėjai grįžta. Matome, kad artimiausiam laikotarpiui rinkai yra ruošiama nemažai naujų projektų bei etapų. Jei jie realizuosis, tai gaivins rinką ir sandorių skaičiaus augimas ilgesnėje perspektyvoje nebus vienkartinis“, – neabejoja „Citus“ investicijų ir analizės vadovas.</w:t>
      </w:r>
    </w:p>
    <w:p w14:paraId="4371688E" w14:textId="77777777" w:rsidR="004A53C4" w:rsidRPr="00557811" w:rsidRDefault="004A53C4" w:rsidP="00657348">
      <w:pPr>
        <w:pBdr>
          <w:bottom w:val="single" w:sz="8" w:space="1" w:color="FFC000"/>
        </w:pBdr>
        <w:rPr>
          <w:rFonts w:ascii="Verdana" w:hAnsi="Verdana"/>
          <w:sz w:val="18"/>
          <w:szCs w:val="20"/>
        </w:rPr>
      </w:pPr>
    </w:p>
    <w:p w14:paraId="75AE99DB" w14:textId="77777777" w:rsidR="004137F3" w:rsidRPr="00557811" w:rsidRDefault="004137F3" w:rsidP="0081024D">
      <w:pPr>
        <w:spacing w:after="100" w:afterAutospacing="1"/>
        <w:contextualSpacing/>
        <w:mirrorIndents/>
        <w:outlineLvl w:val="0"/>
        <w:rPr>
          <w:rFonts w:ascii="Verdana" w:hAnsi="Verdana" w:cstheme="majorHAnsi"/>
          <w:b/>
          <w:sz w:val="18"/>
          <w:szCs w:val="18"/>
          <w:shd w:val="clear" w:color="auto" w:fill="FFFFFF"/>
        </w:rPr>
      </w:pPr>
    </w:p>
    <w:p w14:paraId="3187DF5B" w14:textId="77777777" w:rsidR="0081024D" w:rsidRPr="00557811"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557811">
        <w:rPr>
          <w:rFonts w:ascii="Verdana" w:hAnsi="Verdana" w:cs="Open Sans Light"/>
          <w:b/>
          <w:sz w:val="15"/>
          <w:szCs w:val="15"/>
          <w:shd w:val="clear" w:color="auto" w:fill="FFFFFF"/>
        </w:rPr>
        <w:t xml:space="preserve">Daugiau informacijos: </w:t>
      </w:r>
    </w:p>
    <w:p w14:paraId="475253FD" w14:textId="686F5081" w:rsidR="00481E6F" w:rsidRPr="00557811" w:rsidRDefault="0081024D">
      <w:pPr>
        <w:jc w:val="left"/>
        <w:rPr>
          <w:rFonts w:ascii="Verdana" w:hAnsi="Verdana" w:cs="Open Sans Light"/>
          <w:color w:val="3B3838" w:themeColor="background2" w:themeShade="40"/>
          <w:sz w:val="15"/>
          <w:szCs w:val="15"/>
          <w:lang w:eastAsia="lt-LT"/>
        </w:rPr>
      </w:pPr>
      <w:r w:rsidRPr="00557811">
        <w:rPr>
          <w:rFonts w:ascii="Verdana" w:hAnsi="Verdana" w:cs="Open Sans Light"/>
          <w:sz w:val="15"/>
          <w:szCs w:val="15"/>
          <w:lang w:eastAsia="lt-LT"/>
        </w:rPr>
        <w:t>Rytas Stalnionis</w:t>
      </w:r>
      <w:r w:rsidRPr="00557811">
        <w:rPr>
          <w:rFonts w:ascii="Verdana" w:hAnsi="Verdana" w:cs="Open Sans Light"/>
          <w:sz w:val="15"/>
          <w:szCs w:val="15"/>
          <w:lang w:eastAsia="lt-LT"/>
        </w:rPr>
        <w:br/>
        <w:t>Komunikacijos vadovas</w:t>
      </w:r>
      <w:r w:rsidRPr="00557811">
        <w:rPr>
          <w:rFonts w:ascii="Verdana" w:hAnsi="Verdana" w:cs="Open Sans Light"/>
          <w:sz w:val="15"/>
          <w:szCs w:val="15"/>
          <w:lang w:eastAsia="lt-LT"/>
        </w:rPr>
        <w:br/>
        <w:t>Tel.: +370 614 01829</w:t>
      </w:r>
      <w:r w:rsidRPr="00557811">
        <w:rPr>
          <w:rFonts w:ascii="Verdana" w:hAnsi="Verdana" w:cs="Open Sans Light"/>
          <w:sz w:val="15"/>
          <w:szCs w:val="15"/>
          <w:lang w:eastAsia="lt-LT"/>
        </w:rPr>
        <w:br/>
        <w:t xml:space="preserve">El. paštas </w:t>
      </w:r>
      <w:hyperlink r:id="rId12" w:history="1">
        <w:r w:rsidRPr="00557811">
          <w:rPr>
            <w:rStyle w:val="Hyperlink"/>
            <w:rFonts w:ascii="Verdana" w:hAnsi="Verdana" w:cs="Open Sans Light"/>
            <w:b/>
            <w:color w:val="3B3838" w:themeColor="background2" w:themeShade="40"/>
            <w:sz w:val="15"/>
            <w:szCs w:val="15"/>
            <w:u w:val="none"/>
            <w:lang w:eastAsia="lt-LT"/>
          </w:rPr>
          <w:t>rytas.stalnionis@citus.lt</w:t>
        </w:r>
      </w:hyperlink>
      <w:r w:rsidRPr="00557811">
        <w:rPr>
          <w:rFonts w:ascii="Verdana" w:hAnsi="Verdana" w:cs="Open Sans Light"/>
          <w:sz w:val="15"/>
          <w:szCs w:val="15"/>
          <w:lang w:eastAsia="lt-LT"/>
        </w:rPr>
        <w:br/>
      </w:r>
      <w:hyperlink r:id="rId13" w:history="1">
        <w:r w:rsidRPr="00557811">
          <w:rPr>
            <w:rStyle w:val="Hyperlink"/>
            <w:rFonts w:ascii="Verdana" w:hAnsi="Verdana" w:cs="Open Sans Light"/>
            <w:b/>
            <w:color w:val="3B3838" w:themeColor="background2" w:themeShade="40"/>
            <w:sz w:val="15"/>
            <w:szCs w:val="15"/>
            <w:u w:val="none"/>
            <w:lang w:eastAsia="lt-LT"/>
          </w:rPr>
          <w:t>www.citus.lt</w:t>
        </w:r>
      </w:hyperlink>
    </w:p>
    <w:sectPr w:rsidR="00481E6F" w:rsidRPr="00557811" w:rsidSect="00960106">
      <w:headerReference w:type="default" r:id="rId14"/>
      <w:pgSz w:w="11906" w:h="16838"/>
      <w:pgMar w:top="1418"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A7CB" w14:textId="77777777" w:rsidR="00955DC8" w:rsidRDefault="00955DC8" w:rsidP="00404A94">
      <w:pPr>
        <w:spacing w:after="0"/>
      </w:pPr>
      <w:r>
        <w:separator/>
      </w:r>
    </w:p>
  </w:endnote>
  <w:endnote w:type="continuationSeparator" w:id="0">
    <w:p w14:paraId="0FF8CAE9" w14:textId="77777777" w:rsidR="00955DC8" w:rsidRDefault="00955DC8" w:rsidP="00404A94">
      <w:pPr>
        <w:spacing w:after="0"/>
      </w:pPr>
      <w:r>
        <w:continuationSeparator/>
      </w:r>
    </w:p>
  </w:endnote>
  <w:endnote w:type="continuationNotice" w:id="1">
    <w:p w14:paraId="7BA36769" w14:textId="77777777" w:rsidR="00955DC8" w:rsidRDefault="00955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67D0" w14:textId="77777777" w:rsidR="00955DC8" w:rsidRDefault="00955DC8" w:rsidP="00404A94">
      <w:pPr>
        <w:spacing w:after="0"/>
      </w:pPr>
      <w:r>
        <w:separator/>
      </w:r>
    </w:p>
  </w:footnote>
  <w:footnote w:type="continuationSeparator" w:id="0">
    <w:p w14:paraId="330BE06D" w14:textId="77777777" w:rsidR="00955DC8" w:rsidRDefault="00955DC8" w:rsidP="00404A94">
      <w:pPr>
        <w:spacing w:after="0"/>
      </w:pPr>
      <w:r>
        <w:continuationSeparator/>
      </w:r>
    </w:p>
  </w:footnote>
  <w:footnote w:type="continuationNotice" w:id="1">
    <w:p w14:paraId="401E778C" w14:textId="77777777" w:rsidR="00955DC8" w:rsidRDefault="00955D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2"/>
  </w:num>
  <w:num w:numId="2" w16cid:durableId="1565750052">
    <w:abstractNumId w:val="21"/>
  </w:num>
  <w:num w:numId="3" w16cid:durableId="1815903907">
    <w:abstractNumId w:val="22"/>
  </w:num>
  <w:num w:numId="4" w16cid:durableId="1561406862">
    <w:abstractNumId w:val="25"/>
  </w:num>
  <w:num w:numId="5" w16cid:durableId="321006177">
    <w:abstractNumId w:val="18"/>
  </w:num>
  <w:num w:numId="6" w16cid:durableId="503938402">
    <w:abstractNumId w:val="16"/>
  </w:num>
  <w:num w:numId="7" w16cid:durableId="1758016345">
    <w:abstractNumId w:val="14"/>
  </w:num>
  <w:num w:numId="8" w16cid:durableId="2074308771">
    <w:abstractNumId w:val="8"/>
  </w:num>
  <w:num w:numId="9" w16cid:durableId="263540259">
    <w:abstractNumId w:val="17"/>
  </w:num>
  <w:num w:numId="10" w16cid:durableId="1759860241">
    <w:abstractNumId w:val="6"/>
  </w:num>
  <w:num w:numId="11" w16cid:durableId="813330766">
    <w:abstractNumId w:val="19"/>
  </w:num>
  <w:num w:numId="12" w16cid:durableId="1478958565">
    <w:abstractNumId w:val="11"/>
  </w:num>
  <w:num w:numId="13" w16cid:durableId="574709329">
    <w:abstractNumId w:val="24"/>
  </w:num>
  <w:num w:numId="14" w16cid:durableId="29310045">
    <w:abstractNumId w:val="3"/>
  </w:num>
  <w:num w:numId="15" w16cid:durableId="1947807562">
    <w:abstractNumId w:val="1"/>
  </w:num>
  <w:num w:numId="16" w16cid:durableId="2101025905">
    <w:abstractNumId w:val="20"/>
  </w:num>
  <w:num w:numId="17" w16cid:durableId="394011149">
    <w:abstractNumId w:val="23"/>
  </w:num>
  <w:num w:numId="18" w16cid:durableId="1758165198">
    <w:abstractNumId w:val="4"/>
  </w:num>
  <w:num w:numId="19" w16cid:durableId="836648520">
    <w:abstractNumId w:val="9"/>
  </w:num>
  <w:num w:numId="20" w16cid:durableId="120078200">
    <w:abstractNumId w:val="13"/>
  </w:num>
  <w:num w:numId="21" w16cid:durableId="562251221">
    <w:abstractNumId w:val="5"/>
  </w:num>
  <w:num w:numId="22" w16cid:durableId="1653556973">
    <w:abstractNumId w:val="7"/>
  </w:num>
  <w:num w:numId="23" w16cid:durableId="303893639">
    <w:abstractNumId w:val="12"/>
  </w:num>
  <w:num w:numId="24" w16cid:durableId="1997344683">
    <w:abstractNumId w:val="15"/>
  </w:num>
  <w:num w:numId="25" w16cid:durableId="1493328608">
    <w:abstractNumId w:val="0"/>
  </w:num>
  <w:num w:numId="26" w16cid:durableId="1410615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CEF"/>
    <w:rsid w:val="00003B21"/>
    <w:rsid w:val="000102C2"/>
    <w:rsid w:val="00010448"/>
    <w:rsid w:val="000108A2"/>
    <w:rsid w:val="00011977"/>
    <w:rsid w:val="00013672"/>
    <w:rsid w:val="00014E39"/>
    <w:rsid w:val="0001721B"/>
    <w:rsid w:val="0002086F"/>
    <w:rsid w:val="000217A6"/>
    <w:rsid w:val="000220B2"/>
    <w:rsid w:val="000221C9"/>
    <w:rsid w:val="00024A94"/>
    <w:rsid w:val="00026800"/>
    <w:rsid w:val="00026C07"/>
    <w:rsid w:val="00031AB6"/>
    <w:rsid w:val="000337FF"/>
    <w:rsid w:val="00034DE4"/>
    <w:rsid w:val="00035DFA"/>
    <w:rsid w:val="000402B6"/>
    <w:rsid w:val="00041FD0"/>
    <w:rsid w:val="0004556B"/>
    <w:rsid w:val="00045CD6"/>
    <w:rsid w:val="000465CD"/>
    <w:rsid w:val="00046EBB"/>
    <w:rsid w:val="00050130"/>
    <w:rsid w:val="00052F47"/>
    <w:rsid w:val="00053E05"/>
    <w:rsid w:val="0005705C"/>
    <w:rsid w:val="00057C81"/>
    <w:rsid w:val="0006162D"/>
    <w:rsid w:val="00065A74"/>
    <w:rsid w:val="00066E9C"/>
    <w:rsid w:val="00071C5C"/>
    <w:rsid w:val="00075B5D"/>
    <w:rsid w:val="0007783D"/>
    <w:rsid w:val="00077B19"/>
    <w:rsid w:val="00077E4B"/>
    <w:rsid w:val="00082253"/>
    <w:rsid w:val="00086589"/>
    <w:rsid w:val="00087E40"/>
    <w:rsid w:val="0009095D"/>
    <w:rsid w:val="00091988"/>
    <w:rsid w:val="00093117"/>
    <w:rsid w:val="00095090"/>
    <w:rsid w:val="00095A7F"/>
    <w:rsid w:val="0009618E"/>
    <w:rsid w:val="00097BCF"/>
    <w:rsid w:val="000A348C"/>
    <w:rsid w:val="000A3BCC"/>
    <w:rsid w:val="000B415E"/>
    <w:rsid w:val="000B6652"/>
    <w:rsid w:val="000C466A"/>
    <w:rsid w:val="000D3793"/>
    <w:rsid w:val="000D52B0"/>
    <w:rsid w:val="000D5408"/>
    <w:rsid w:val="000D6181"/>
    <w:rsid w:val="000D7996"/>
    <w:rsid w:val="000E0278"/>
    <w:rsid w:val="000E2549"/>
    <w:rsid w:val="000E412F"/>
    <w:rsid w:val="000E76EF"/>
    <w:rsid w:val="000F316C"/>
    <w:rsid w:val="000F349B"/>
    <w:rsid w:val="000F3861"/>
    <w:rsid w:val="000F67CF"/>
    <w:rsid w:val="000F6D77"/>
    <w:rsid w:val="0010074C"/>
    <w:rsid w:val="00100E5F"/>
    <w:rsid w:val="001019A3"/>
    <w:rsid w:val="00110172"/>
    <w:rsid w:val="00110A4F"/>
    <w:rsid w:val="00112445"/>
    <w:rsid w:val="00113E0A"/>
    <w:rsid w:val="0011478A"/>
    <w:rsid w:val="001168FC"/>
    <w:rsid w:val="00120A16"/>
    <w:rsid w:val="00123A5A"/>
    <w:rsid w:val="00127DAE"/>
    <w:rsid w:val="001301F8"/>
    <w:rsid w:val="00131EEE"/>
    <w:rsid w:val="00135A25"/>
    <w:rsid w:val="00143194"/>
    <w:rsid w:val="001448B0"/>
    <w:rsid w:val="00144B4C"/>
    <w:rsid w:val="001461B5"/>
    <w:rsid w:val="0014782B"/>
    <w:rsid w:val="0014782E"/>
    <w:rsid w:val="00154127"/>
    <w:rsid w:val="00155BAD"/>
    <w:rsid w:val="001562E0"/>
    <w:rsid w:val="00156834"/>
    <w:rsid w:val="00157C43"/>
    <w:rsid w:val="0016042B"/>
    <w:rsid w:val="00162248"/>
    <w:rsid w:val="001625E1"/>
    <w:rsid w:val="00166160"/>
    <w:rsid w:val="0016653B"/>
    <w:rsid w:val="001669D3"/>
    <w:rsid w:val="00170EDF"/>
    <w:rsid w:val="001763B9"/>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7400"/>
    <w:rsid w:val="001B7B47"/>
    <w:rsid w:val="001C08A4"/>
    <w:rsid w:val="001C5DAE"/>
    <w:rsid w:val="001C6006"/>
    <w:rsid w:val="001D2FE9"/>
    <w:rsid w:val="001D4D1A"/>
    <w:rsid w:val="001E3644"/>
    <w:rsid w:val="001E720E"/>
    <w:rsid w:val="001E7680"/>
    <w:rsid w:val="001F08A7"/>
    <w:rsid w:val="001F14EC"/>
    <w:rsid w:val="001F695C"/>
    <w:rsid w:val="001F7CF5"/>
    <w:rsid w:val="00204913"/>
    <w:rsid w:val="00205E76"/>
    <w:rsid w:val="0021114B"/>
    <w:rsid w:val="00213309"/>
    <w:rsid w:val="0021336A"/>
    <w:rsid w:val="00214349"/>
    <w:rsid w:val="002155CF"/>
    <w:rsid w:val="00220DA2"/>
    <w:rsid w:val="00221860"/>
    <w:rsid w:val="00225476"/>
    <w:rsid w:val="00225DC1"/>
    <w:rsid w:val="00226FE4"/>
    <w:rsid w:val="00237177"/>
    <w:rsid w:val="0023765A"/>
    <w:rsid w:val="00241C37"/>
    <w:rsid w:val="00243606"/>
    <w:rsid w:val="002461FF"/>
    <w:rsid w:val="00246B12"/>
    <w:rsid w:val="00247FB5"/>
    <w:rsid w:val="00254D36"/>
    <w:rsid w:val="002550D7"/>
    <w:rsid w:val="002606AC"/>
    <w:rsid w:val="0026093C"/>
    <w:rsid w:val="00260A01"/>
    <w:rsid w:val="0026120A"/>
    <w:rsid w:val="002651DB"/>
    <w:rsid w:val="00265B81"/>
    <w:rsid w:val="00270E92"/>
    <w:rsid w:val="002717F0"/>
    <w:rsid w:val="002745DA"/>
    <w:rsid w:val="002767B8"/>
    <w:rsid w:val="0027680F"/>
    <w:rsid w:val="00281077"/>
    <w:rsid w:val="002836DD"/>
    <w:rsid w:val="00287BF9"/>
    <w:rsid w:val="00290AE9"/>
    <w:rsid w:val="00291878"/>
    <w:rsid w:val="002928DA"/>
    <w:rsid w:val="00296465"/>
    <w:rsid w:val="002A210A"/>
    <w:rsid w:val="002A71A6"/>
    <w:rsid w:val="002A78C2"/>
    <w:rsid w:val="002B0A7D"/>
    <w:rsid w:val="002B1F95"/>
    <w:rsid w:val="002B2462"/>
    <w:rsid w:val="002B74FA"/>
    <w:rsid w:val="002C4127"/>
    <w:rsid w:val="002C51AF"/>
    <w:rsid w:val="002C7B21"/>
    <w:rsid w:val="002D6044"/>
    <w:rsid w:val="002D6660"/>
    <w:rsid w:val="002E1ED9"/>
    <w:rsid w:val="002E41F0"/>
    <w:rsid w:val="002F6589"/>
    <w:rsid w:val="00303A18"/>
    <w:rsid w:val="00303B6E"/>
    <w:rsid w:val="00303E68"/>
    <w:rsid w:val="00313D0E"/>
    <w:rsid w:val="00314491"/>
    <w:rsid w:val="003151C1"/>
    <w:rsid w:val="00321266"/>
    <w:rsid w:val="00322FC8"/>
    <w:rsid w:val="00324AC6"/>
    <w:rsid w:val="00325B7C"/>
    <w:rsid w:val="00325BD6"/>
    <w:rsid w:val="00327A63"/>
    <w:rsid w:val="00330521"/>
    <w:rsid w:val="0033251B"/>
    <w:rsid w:val="00333F2B"/>
    <w:rsid w:val="00334E5B"/>
    <w:rsid w:val="00335334"/>
    <w:rsid w:val="0033705A"/>
    <w:rsid w:val="00341E5B"/>
    <w:rsid w:val="00342741"/>
    <w:rsid w:val="003528EE"/>
    <w:rsid w:val="00352A8C"/>
    <w:rsid w:val="00355FF4"/>
    <w:rsid w:val="003675E8"/>
    <w:rsid w:val="0036787E"/>
    <w:rsid w:val="003679FC"/>
    <w:rsid w:val="00367DE5"/>
    <w:rsid w:val="00367F05"/>
    <w:rsid w:val="00372866"/>
    <w:rsid w:val="00372AA1"/>
    <w:rsid w:val="003737ED"/>
    <w:rsid w:val="0037405F"/>
    <w:rsid w:val="0037583C"/>
    <w:rsid w:val="00381E63"/>
    <w:rsid w:val="00384377"/>
    <w:rsid w:val="003860BB"/>
    <w:rsid w:val="00386C56"/>
    <w:rsid w:val="00394693"/>
    <w:rsid w:val="00394BC2"/>
    <w:rsid w:val="003A0367"/>
    <w:rsid w:val="003A560E"/>
    <w:rsid w:val="003A6246"/>
    <w:rsid w:val="003B0ADE"/>
    <w:rsid w:val="003B3E96"/>
    <w:rsid w:val="003B625B"/>
    <w:rsid w:val="003C013C"/>
    <w:rsid w:val="003C3D91"/>
    <w:rsid w:val="003C4B93"/>
    <w:rsid w:val="003C7566"/>
    <w:rsid w:val="003C7CFB"/>
    <w:rsid w:val="003D0D73"/>
    <w:rsid w:val="003D75DF"/>
    <w:rsid w:val="003E04C6"/>
    <w:rsid w:val="003E4F45"/>
    <w:rsid w:val="003E5444"/>
    <w:rsid w:val="003F3DC5"/>
    <w:rsid w:val="003F49B2"/>
    <w:rsid w:val="003F74BD"/>
    <w:rsid w:val="0040467E"/>
    <w:rsid w:val="00404A94"/>
    <w:rsid w:val="00406519"/>
    <w:rsid w:val="00406A4D"/>
    <w:rsid w:val="004137F3"/>
    <w:rsid w:val="0041524B"/>
    <w:rsid w:val="004167A6"/>
    <w:rsid w:val="00417E64"/>
    <w:rsid w:val="00421F7F"/>
    <w:rsid w:val="00422232"/>
    <w:rsid w:val="00424D80"/>
    <w:rsid w:val="00425D31"/>
    <w:rsid w:val="00432D54"/>
    <w:rsid w:val="00434A91"/>
    <w:rsid w:val="004361FB"/>
    <w:rsid w:val="00436EAA"/>
    <w:rsid w:val="0044207B"/>
    <w:rsid w:val="00442D9B"/>
    <w:rsid w:val="00446BAD"/>
    <w:rsid w:val="004521F4"/>
    <w:rsid w:val="00456048"/>
    <w:rsid w:val="004561FB"/>
    <w:rsid w:val="00456AEB"/>
    <w:rsid w:val="00456B11"/>
    <w:rsid w:val="00460A41"/>
    <w:rsid w:val="00462396"/>
    <w:rsid w:val="0046628B"/>
    <w:rsid w:val="00470D62"/>
    <w:rsid w:val="00470EBC"/>
    <w:rsid w:val="00481E6F"/>
    <w:rsid w:val="00483C7E"/>
    <w:rsid w:val="00484D06"/>
    <w:rsid w:val="00485130"/>
    <w:rsid w:val="00485D5F"/>
    <w:rsid w:val="004903D9"/>
    <w:rsid w:val="004926A3"/>
    <w:rsid w:val="00493D6F"/>
    <w:rsid w:val="004945C5"/>
    <w:rsid w:val="0049757B"/>
    <w:rsid w:val="00497789"/>
    <w:rsid w:val="004A0601"/>
    <w:rsid w:val="004A0657"/>
    <w:rsid w:val="004A1BC6"/>
    <w:rsid w:val="004A1FE0"/>
    <w:rsid w:val="004A2E5C"/>
    <w:rsid w:val="004A53C4"/>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79F4"/>
    <w:rsid w:val="004F0336"/>
    <w:rsid w:val="004F42AE"/>
    <w:rsid w:val="004F686D"/>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30D5D"/>
    <w:rsid w:val="00532C4E"/>
    <w:rsid w:val="00537458"/>
    <w:rsid w:val="00540FF7"/>
    <w:rsid w:val="00543DC7"/>
    <w:rsid w:val="005443C4"/>
    <w:rsid w:val="00544BDC"/>
    <w:rsid w:val="005513CF"/>
    <w:rsid w:val="00552CB2"/>
    <w:rsid w:val="00555F6D"/>
    <w:rsid w:val="00557811"/>
    <w:rsid w:val="0056026A"/>
    <w:rsid w:val="00563C5B"/>
    <w:rsid w:val="00565AFB"/>
    <w:rsid w:val="00565E38"/>
    <w:rsid w:val="00566805"/>
    <w:rsid w:val="00571125"/>
    <w:rsid w:val="00573510"/>
    <w:rsid w:val="005779FB"/>
    <w:rsid w:val="005813BF"/>
    <w:rsid w:val="005821A3"/>
    <w:rsid w:val="005923D2"/>
    <w:rsid w:val="0059761B"/>
    <w:rsid w:val="005B4250"/>
    <w:rsid w:val="005B4ECA"/>
    <w:rsid w:val="005B581E"/>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0E05"/>
    <w:rsid w:val="006036D2"/>
    <w:rsid w:val="006037F6"/>
    <w:rsid w:val="00603985"/>
    <w:rsid w:val="006070B0"/>
    <w:rsid w:val="00610A79"/>
    <w:rsid w:val="00615BB4"/>
    <w:rsid w:val="00621B4D"/>
    <w:rsid w:val="00621CDF"/>
    <w:rsid w:val="00622C70"/>
    <w:rsid w:val="00623B06"/>
    <w:rsid w:val="00630575"/>
    <w:rsid w:val="006358DB"/>
    <w:rsid w:val="006513A2"/>
    <w:rsid w:val="0065284C"/>
    <w:rsid w:val="00654878"/>
    <w:rsid w:val="00654BB0"/>
    <w:rsid w:val="00657348"/>
    <w:rsid w:val="00657BF0"/>
    <w:rsid w:val="0066182B"/>
    <w:rsid w:val="006735D4"/>
    <w:rsid w:val="00674A31"/>
    <w:rsid w:val="00680B49"/>
    <w:rsid w:val="00683A11"/>
    <w:rsid w:val="00691A54"/>
    <w:rsid w:val="00692802"/>
    <w:rsid w:val="00693835"/>
    <w:rsid w:val="00693E03"/>
    <w:rsid w:val="00694533"/>
    <w:rsid w:val="00694DFF"/>
    <w:rsid w:val="00696470"/>
    <w:rsid w:val="00697869"/>
    <w:rsid w:val="006A4568"/>
    <w:rsid w:val="006B1830"/>
    <w:rsid w:val="006B338F"/>
    <w:rsid w:val="006B3831"/>
    <w:rsid w:val="006B5CDC"/>
    <w:rsid w:val="006C19D2"/>
    <w:rsid w:val="006C4175"/>
    <w:rsid w:val="006C4633"/>
    <w:rsid w:val="006C49A5"/>
    <w:rsid w:val="006C74FA"/>
    <w:rsid w:val="006D0EC6"/>
    <w:rsid w:val="006D39D0"/>
    <w:rsid w:val="006D4B4C"/>
    <w:rsid w:val="006D6C9D"/>
    <w:rsid w:val="006D7E50"/>
    <w:rsid w:val="006E0599"/>
    <w:rsid w:val="006E230C"/>
    <w:rsid w:val="006E26E4"/>
    <w:rsid w:val="006E35E2"/>
    <w:rsid w:val="006E39DC"/>
    <w:rsid w:val="006E58B8"/>
    <w:rsid w:val="006F09BA"/>
    <w:rsid w:val="006F2080"/>
    <w:rsid w:val="006F3C1A"/>
    <w:rsid w:val="006F4687"/>
    <w:rsid w:val="006F5DBE"/>
    <w:rsid w:val="006F69CB"/>
    <w:rsid w:val="006F79C3"/>
    <w:rsid w:val="006F7F14"/>
    <w:rsid w:val="00702B38"/>
    <w:rsid w:val="00702BF0"/>
    <w:rsid w:val="00704AB3"/>
    <w:rsid w:val="00707BC9"/>
    <w:rsid w:val="00712CF8"/>
    <w:rsid w:val="0071363A"/>
    <w:rsid w:val="00713A4A"/>
    <w:rsid w:val="00713F37"/>
    <w:rsid w:val="007266ED"/>
    <w:rsid w:val="007279F8"/>
    <w:rsid w:val="007303AB"/>
    <w:rsid w:val="007315DB"/>
    <w:rsid w:val="00735474"/>
    <w:rsid w:val="00741F1E"/>
    <w:rsid w:val="007509C5"/>
    <w:rsid w:val="00753D8D"/>
    <w:rsid w:val="00753FA3"/>
    <w:rsid w:val="00756C8C"/>
    <w:rsid w:val="00757D4C"/>
    <w:rsid w:val="00760250"/>
    <w:rsid w:val="00763DD7"/>
    <w:rsid w:val="00770ED4"/>
    <w:rsid w:val="007829A4"/>
    <w:rsid w:val="00785F60"/>
    <w:rsid w:val="00791659"/>
    <w:rsid w:val="00794B88"/>
    <w:rsid w:val="007966AF"/>
    <w:rsid w:val="007A2CE0"/>
    <w:rsid w:val="007A495C"/>
    <w:rsid w:val="007B13A2"/>
    <w:rsid w:val="007B256D"/>
    <w:rsid w:val="007B27AC"/>
    <w:rsid w:val="007B2BD1"/>
    <w:rsid w:val="007C0CD4"/>
    <w:rsid w:val="007C13ED"/>
    <w:rsid w:val="007C3050"/>
    <w:rsid w:val="007C6ADC"/>
    <w:rsid w:val="007D2622"/>
    <w:rsid w:val="007D3BBF"/>
    <w:rsid w:val="007D49DA"/>
    <w:rsid w:val="007D51A4"/>
    <w:rsid w:val="007D794E"/>
    <w:rsid w:val="007E2DB6"/>
    <w:rsid w:val="007E5EDA"/>
    <w:rsid w:val="007E7C89"/>
    <w:rsid w:val="007F27B4"/>
    <w:rsid w:val="007F44B6"/>
    <w:rsid w:val="00801573"/>
    <w:rsid w:val="00801973"/>
    <w:rsid w:val="0080252A"/>
    <w:rsid w:val="008051CA"/>
    <w:rsid w:val="00806C2E"/>
    <w:rsid w:val="00807144"/>
    <w:rsid w:val="0081024D"/>
    <w:rsid w:val="00817506"/>
    <w:rsid w:val="008215FC"/>
    <w:rsid w:val="00831F03"/>
    <w:rsid w:val="00836A3B"/>
    <w:rsid w:val="00837766"/>
    <w:rsid w:val="00842C68"/>
    <w:rsid w:val="008433E0"/>
    <w:rsid w:val="00850D6A"/>
    <w:rsid w:val="0085695D"/>
    <w:rsid w:val="0086223C"/>
    <w:rsid w:val="00863131"/>
    <w:rsid w:val="0086360F"/>
    <w:rsid w:val="008658A9"/>
    <w:rsid w:val="00865CD1"/>
    <w:rsid w:val="008717F9"/>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5160"/>
    <w:rsid w:val="008D49ED"/>
    <w:rsid w:val="008E0EC4"/>
    <w:rsid w:val="008F0257"/>
    <w:rsid w:val="008F1B1C"/>
    <w:rsid w:val="009005B7"/>
    <w:rsid w:val="009020C5"/>
    <w:rsid w:val="00903BE2"/>
    <w:rsid w:val="00910EA0"/>
    <w:rsid w:val="009142FD"/>
    <w:rsid w:val="00917209"/>
    <w:rsid w:val="009177FF"/>
    <w:rsid w:val="00921E3D"/>
    <w:rsid w:val="00925201"/>
    <w:rsid w:val="00931956"/>
    <w:rsid w:val="00937C07"/>
    <w:rsid w:val="00946F98"/>
    <w:rsid w:val="009547AA"/>
    <w:rsid w:val="00955DC8"/>
    <w:rsid w:val="0095647C"/>
    <w:rsid w:val="00957439"/>
    <w:rsid w:val="00960106"/>
    <w:rsid w:val="009650CC"/>
    <w:rsid w:val="00970829"/>
    <w:rsid w:val="009724D2"/>
    <w:rsid w:val="00974732"/>
    <w:rsid w:val="009771C2"/>
    <w:rsid w:val="009779CF"/>
    <w:rsid w:val="00980027"/>
    <w:rsid w:val="009806F0"/>
    <w:rsid w:val="009817F4"/>
    <w:rsid w:val="0098308A"/>
    <w:rsid w:val="00985735"/>
    <w:rsid w:val="0098620D"/>
    <w:rsid w:val="00986489"/>
    <w:rsid w:val="009A16F5"/>
    <w:rsid w:val="009A232C"/>
    <w:rsid w:val="009A2922"/>
    <w:rsid w:val="009B0042"/>
    <w:rsid w:val="009B2D5C"/>
    <w:rsid w:val="009B3D5C"/>
    <w:rsid w:val="009C3EEC"/>
    <w:rsid w:val="009C691B"/>
    <w:rsid w:val="009C77B5"/>
    <w:rsid w:val="009D0730"/>
    <w:rsid w:val="009D1895"/>
    <w:rsid w:val="009D207E"/>
    <w:rsid w:val="009D3716"/>
    <w:rsid w:val="009D7ECD"/>
    <w:rsid w:val="009E0761"/>
    <w:rsid w:val="009E2C26"/>
    <w:rsid w:val="009E4FFA"/>
    <w:rsid w:val="009E5019"/>
    <w:rsid w:val="009E73D1"/>
    <w:rsid w:val="009F1670"/>
    <w:rsid w:val="009F20EB"/>
    <w:rsid w:val="00A01F35"/>
    <w:rsid w:val="00A03270"/>
    <w:rsid w:val="00A03DB5"/>
    <w:rsid w:val="00A06EFE"/>
    <w:rsid w:val="00A10B3E"/>
    <w:rsid w:val="00A116DB"/>
    <w:rsid w:val="00A164C2"/>
    <w:rsid w:val="00A176A9"/>
    <w:rsid w:val="00A20FBE"/>
    <w:rsid w:val="00A2224C"/>
    <w:rsid w:val="00A267E4"/>
    <w:rsid w:val="00A26B62"/>
    <w:rsid w:val="00A32059"/>
    <w:rsid w:val="00A32904"/>
    <w:rsid w:val="00A3362F"/>
    <w:rsid w:val="00A33942"/>
    <w:rsid w:val="00A3564F"/>
    <w:rsid w:val="00A40CF6"/>
    <w:rsid w:val="00A41E3C"/>
    <w:rsid w:val="00A47158"/>
    <w:rsid w:val="00A50143"/>
    <w:rsid w:val="00A5593A"/>
    <w:rsid w:val="00A55D2D"/>
    <w:rsid w:val="00A56C20"/>
    <w:rsid w:val="00A56D8F"/>
    <w:rsid w:val="00A63B80"/>
    <w:rsid w:val="00A650C1"/>
    <w:rsid w:val="00A672FF"/>
    <w:rsid w:val="00A7200A"/>
    <w:rsid w:val="00A7439C"/>
    <w:rsid w:val="00A7507E"/>
    <w:rsid w:val="00A772E4"/>
    <w:rsid w:val="00A839CF"/>
    <w:rsid w:val="00A84EE8"/>
    <w:rsid w:val="00A87ABE"/>
    <w:rsid w:val="00A946F4"/>
    <w:rsid w:val="00A947C2"/>
    <w:rsid w:val="00A957D3"/>
    <w:rsid w:val="00A97094"/>
    <w:rsid w:val="00A97D97"/>
    <w:rsid w:val="00AA1C0D"/>
    <w:rsid w:val="00AA3616"/>
    <w:rsid w:val="00AA4A54"/>
    <w:rsid w:val="00AA5D8E"/>
    <w:rsid w:val="00AB40A7"/>
    <w:rsid w:val="00AC0302"/>
    <w:rsid w:val="00AC05A6"/>
    <w:rsid w:val="00AC0A4D"/>
    <w:rsid w:val="00AC2350"/>
    <w:rsid w:val="00AC2A2F"/>
    <w:rsid w:val="00AC6222"/>
    <w:rsid w:val="00AC6390"/>
    <w:rsid w:val="00AD2FA9"/>
    <w:rsid w:val="00AD535F"/>
    <w:rsid w:val="00AD5C5D"/>
    <w:rsid w:val="00AE203D"/>
    <w:rsid w:val="00AE213F"/>
    <w:rsid w:val="00AE3477"/>
    <w:rsid w:val="00AE55EF"/>
    <w:rsid w:val="00AE732E"/>
    <w:rsid w:val="00AF22CC"/>
    <w:rsid w:val="00AF4241"/>
    <w:rsid w:val="00AF4993"/>
    <w:rsid w:val="00B013BC"/>
    <w:rsid w:val="00B02232"/>
    <w:rsid w:val="00B04DC3"/>
    <w:rsid w:val="00B076AC"/>
    <w:rsid w:val="00B119A9"/>
    <w:rsid w:val="00B15278"/>
    <w:rsid w:val="00B174B8"/>
    <w:rsid w:val="00B2270A"/>
    <w:rsid w:val="00B2295E"/>
    <w:rsid w:val="00B277DD"/>
    <w:rsid w:val="00B27DE4"/>
    <w:rsid w:val="00B35AB5"/>
    <w:rsid w:val="00B360C4"/>
    <w:rsid w:val="00B41BA4"/>
    <w:rsid w:val="00B43EAB"/>
    <w:rsid w:val="00B5040F"/>
    <w:rsid w:val="00B51CC8"/>
    <w:rsid w:val="00B555A7"/>
    <w:rsid w:val="00B65EEC"/>
    <w:rsid w:val="00B80C12"/>
    <w:rsid w:val="00B83385"/>
    <w:rsid w:val="00B83DD8"/>
    <w:rsid w:val="00B86F54"/>
    <w:rsid w:val="00B9195D"/>
    <w:rsid w:val="00B95304"/>
    <w:rsid w:val="00B963CE"/>
    <w:rsid w:val="00B968CF"/>
    <w:rsid w:val="00BA081A"/>
    <w:rsid w:val="00BA3D1E"/>
    <w:rsid w:val="00BB0E21"/>
    <w:rsid w:val="00BB179D"/>
    <w:rsid w:val="00BC11CA"/>
    <w:rsid w:val="00BC156A"/>
    <w:rsid w:val="00BC2F69"/>
    <w:rsid w:val="00BC6BF2"/>
    <w:rsid w:val="00BD112C"/>
    <w:rsid w:val="00BD128F"/>
    <w:rsid w:val="00BD1F5B"/>
    <w:rsid w:val="00BD29F7"/>
    <w:rsid w:val="00BD4423"/>
    <w:rsid w:val="00BD49CD"/>
    <w:rsid w:val="00BD7051"/>
    <w:rsid w:val="00BD7562"/>
    <w:rsid w:val="00BD776E"/>
    <w:rsid w:val="00BE0D7D"/>
    <w:rsid w:val="00BE1217"/>
    <w:rsid w:val="00BE37B5"/>
    <w:rsid w:val="00BE49C7"/>
    <w:rsid w:val="00BF66E8"/>
    <w:rsid w:val="00BF6C8D"/>
    <w:rsid w:val="00BF75C5"/>
    <w:rsid w:val="00C00B7B"/>
    <w:rsid w:val="00C01111"/>
    <w:rsid w:val="00C02510"/>
    <w:rsid w:val="00C02907"/>
    <w:rsid w:val="00C040E2"/>
    <w:rsid w:val="00C04933"/>
    <w:rsid w:val="00C05F75"/>
    <w:rsid w:val="00C15006"/>
    <w:rsid w:val="00C24D14"/>
    <w:rsid w:val="00C260DE"/>
    <w:rsid w:val="00C26BD3"/>
    <w:rsid w:val="00C3182E"/>
    <w:rsid w:val="00C323F7"/>
    <w:rsid w:val="00C35436"/>
    <w:rsid w:val="00C35C67"/>
    <w:rsid w:val="00C35E01"/>
    <w:rsid w:val="00C362D6"/>
    <w:rsid w:val="00C4327A"/>
    <w:rsid w:val="00C45830"/>
    <w:rsid w:val="00C47F23"/>
    <w:rsid w:val="00C53617"/>
    <w:rsid w:val="00C550F3"/>
    <w:rsid w:val="00C56448"/>
    <w:rsid w:val="00C62BD4"/>
    <w:rsid w:val="00C63339"/>
    <w:rsid w:val="00C64B78"/>
    <w:rsid w:val="00C64D11"/>
    <w:rsid w:val="00C66589"/>
    <w:rsid w:val="00C66812"/>
    <w:rsid w:val="00C66ADE"/>
    <w:rsid w:val="00C66C39"/>
    <w:rsid w:val="00C66D1C"/>
    <w:rsid w:val="00C71704"/>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A0D1B"/>
    <w:rsid w:val="00CA3743"/>
    <w:rsid w:val="00CA37C9"/>
    <w:rsid w:val="00CA686E"/>
    <w:rsid w:val="00CA6904"/>
    <w:rsid w:val="00CB0D9F"/>
    <w:rsid w:val="00CB2394"/>
    <w:rsid w:val="00CB3B74"/>
    <w:rsid w:val="00CB51C5"/>
    <w:rsid w:val="00CB5564"/>
    <w:rsid w:val="00CC131F"/>
    <w:rsid w:val="00CC4416"/>
    <w:rsid w:val="00CC49F1"/>
    <w:rsid w:val="00CC7484"/>
    <w:rsid w:val="00CD404D"/>
    <w:rsid w:val="00CD5701"/>
    <w:rsid w:val="00CD6DC7"/>
    <w:rsid w:val="00CE1705"/>
    <w:rsid w:val="00CE1A05"/>
    <w:rsid w:val="00CE4595"/>
    <w:rsid w:val="00CE6E3B"/>
    <w:rsid w:val="00CE7411"/>
    <w:rsid w:val="00CF104C"/>
    <w:rsid w:val="00CF1B7B"/>
    <w:rsid w:val="00CF38B3"/>
    <w:rsid w:val="00CF3BC9"/>
    <w:rsid w:val="00D0132C"/>
    <w:rsid w:val="00D04B9C"/>
    <w:rsid w:val="00D11B81"/>
    <w:rsid w:val="00D12772"/>
    <w:rsid w:val="00D127D3"/>
    <w:rsid w:val="00D15DAC"/>
    <w:rsid w:val="00D15E93"/>
    <w:rsid w:val="00D17CBB"/>
    <w:rsid w:val="00D20461"/>
    <w:rsid w:val="00D206D7"/>
    <w:rsid w:val="00D22C3A"/>
    <w:rsid w:val="00D24808"/>
    <w:rsid w:val="00D27EC9"/>
    <w:rsid w:val="00D325F5"/>
    <w:rsid w:val="00D32987"/>
    <w:rsid w:val="00D374E8"/>
    <w:rsid w:val="00D40E2E"/>
    <w:rsid w:val="00D40FF7"/>
    <w:rsid w:val="00D421A2"/>
    <w:rsid w:val="00D51528"/>
    <w:rsid w:val="00D51CA0"/>
    <w:rsid w:val="00D520C4"/>
    <w:rsid w:val="00D534B4"/>
    <w:rsid w:val="00D551D4"/>
    <w:rsid w:val="00D60262"/>
    <w:rsid w:val="00D63A62"/>
    <w:rsid w:val="00D65422"/>
    <w:rsid w:val="00D66C07"/>
    <w:rsid w:val="00D70298"/>
    <w:rsid w:val="00D707DC"/>
    <w:rsid w:val="00D71199"/>
    <w:rsid w:val="00D72072"/>
    <w:rsid w:val="00D724DC"/>
    <w:rsid w:val="00D76249"/>
    <w:rsid w:val="00D8184D"/>
    <w:rsid w:val="00D82BB5"/>
    <w:rsid w:val="00D82CD1"/>
    <w:rsid w:val="00D842F5"/>
    <w:rsid w:val="00D84472"/>
    <w:rsid w:val="00D849C1"/>
    <w:rsid w:val="00D92261"/>
    <w:rsid w:val="00D945D0"/>
    <w:rsid w:val="00D9490B"/>
    <w:rsid w:val="00DA2733"/>
    <w:rsid w:val="00DA3E3F"/>
    <w:rsid w:val="00DB1AB1"/>
    <w:rsid w:val="00DB7E8A"/>
    <w:rsid w:val="00DC1814"/>
    <w:rsid w:val="00DC4CF5"/>
    <w:rsid w:val="00DC654A"/>
    <w:rsid w:val="00DC71B8"/>
    <w:rsid w:val="00DD0CF5"/>
    <w:rsid w:val="00DD18E0"/>
    <w:rsid w:val="00DD38A0"/>
    <w:rsid w:val="00DD5769"/>
    <w:rsid w:val="00DE4429"/>
    <w:rsid w:val="00DF0FE8"/>
    <w:rsid w:val="00E00E93"/>
    <w:rsid w:val="00E01261"/>
    <w:rsid w:val="00E04E81"/>
    <w:rsid w:val="00E05446"/>
    <w:rsid w:val="00E12364"/>
    <w:rsid w:val="00E12FA2"/>
    <w:rsid w:val="00E13EF4"/>
    <w:rsid w:val="00E15DFC"/>
    <w:rsid w:val="00E237FE"/>
    <w:rsid w:val="00E32615"/>
    <w:rsid w:val="00E3467D"/>
    <w:rsid w:val="00E43461"/>
    <w:rsid w:val="00E45B46"/>
    <w:rsid w:val="00E46A19"/>
    <w:rsid w:val="00E47039"/>
    <w:rsid w:val="00E51DC7"/>
    <w:rsid w:val="00E56C86"/>
    <w:rsid w:val="00E6157E"/>
    <w:rsid w:val="00E670B4"/>
    <w:rsid w:val="00E67146"/>
    <w:rsid w:val="00E67618"/>
    <w:rsid w:val="00E6770B"/>
    <w:rsid w:val="00E70D9D"/>
    <w:rsid w:val="00E71928"/>
    <w:rsid w:val="00E72D73"/>
    <w:rsid w:val="00E760F4"/>
    <w:rsid w:val="00E81E63"/>
    <w:rsid w:val="00E86406"/>
    <w:rsid w:val="00E86D17"/>
    <w:rsid w:val="00E96641"/>
    <w:rsid w:val="00EA1E73"/>
    <w:rsid w:val="00EB0A2B"/>
    <w:rsid w:val="00EB2378"/>
    <w:rsid w:val="00EB40F6"/>
    <w:rsid w:val="00EB5804"/>
    <w:rsid w:val="00EB6C9D"/>
    <w:rsid w:val="00EB764E"/>
    <w:rsid w:val="00EB7CDD"/>
    <w:rsid w:val="00EC02BF"/>
    <w:rsid w:val="00EC5A00"/>
    <w:rsid w:val="00ED16A5"/>
    <w:rsid w:val="00ED2E4F"/>
    <w:rsid w:val="00ED56EF"/>
    <w:rsid w:val="00EE4AAF"/>
    <w:rsid w:val="00EF115F"/>
    <w:rsid w:val="00EF4703"/>
    <w:rsid w:val="00EF4982"/>
    <w:rsid w:val="00EF58E3"/>
    <w:rsid w:val="00F015B1"/>
    <w:rsid w:val="00F02E4A"/>
    <w:rsid w:val="00F03373"/>
    <w:rsid w:val="00F05251"/>
    <w:rsid w:val="00F100D8"/>
    <w:rsid w:val="00F12D55"/>
    <w:rsid w:val="00F14041"/>
    <w:rsid w:val="00F17269"/>
    <w:rsid w:val="00F20925"/>
    <w:rsid w:val="00F23F6A"/>
    <w:rsid w:val="00F25B9C"/>
    <w:rsid w:val="00F26C9E"/>
    <w:rsid w:val="00F27A39"/>
    <w:rsid w:val="00F27ACC"/>
    <w:rsid w:val="00F30134"/>
    <w:rsid w:val="00F33B91"/>
    <w:rsid w:val="00F33BF9"/>
    <w:rsid w:val="00F371C2"/>
    <w:rsid w:val="00F41B58"/>
    <w:rsid w:val="00F42DBE"/>
    <w:rsid w:val="00F42F77"/>
    <w:rsid w:val="00F466A8"/>
    <w:rsid w:val="00F512A2"/>
    <w:rsid w:val="00F54667"/>
    <w:rsid w:val="00F54FBB"/>
    <w:rsid w:val="00F550E3"/>
    <w:rsid w:val="00F62BA9"/>
    <w:rsid w:val="00F6334E"/>
    <w:rsid w:val="00F65740"/>
    <w:rsid w:val="00F70A61"/>
    <w:rsid w:val="00F71A4B"/>
    <w:rsid w:val="00F723A0"/>
    <w:rsid w:val="00F73F69"/>
    <w:rsid w:val="00F77B12"/>
    <w:rsid w:val="00F84055"/>
    <w:rsid w:val="00F85010"/>
    <w:rsid w:val="00F853B6"/>
    <w:rsid w:val="00F86C2A"/>
    <w:rsid w:val="00F96161"/>
    <w:rsid w:val="00F96475"/>
    <w:rsid w:val="00FA1B7B"/>
    <w:rsid w:val="00FA268B"/>
    <w:rsid w:val="00FA2B8C"/>
    <w:rsid w:val="00FA5FA5"/>
    <w:rsid w:val="00FA7010"/>
    <w:rsid w:val="00FB2857"/>
    <w:rsid w:val="00FB4266"/>
    <w:rsid w:val="00FB632A"/>
    <w:rsid w:val="00FC765B"/>
    <w:rsid w:val="00FD3BF5"/>
    <w:rsid w:val="00FD3F21"/>
    <w:rsid w:val="00FD6EB5"/>
    <w:rsid w:val="00FE2311"/>
    <w:rsid w:val="00FE289C"/>
    <w:rsid w:val="00FE55C7"/>
    <w:rsid w:val="00FE585C"/>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semiHidden/>
    <w:unhideWhenUsed/>
    <w:rsid w:val="00CB5564"/>
    <w:rPr>
      <w:sz w:val="20"/>
      <w:szCs w:val="20"/>
    </w:rPr>
  </w:style>
  <w:style w:type="character" w:customStyle="1" w:styleId="CommentTextChar">
    <w:name w:val="Comment Text Char"/>
    <w:basedOn w:val="DefaultParagraphFont"/>
    <w:link w:val="CommentText"/>
    <w:uiPriority w:val="99"/>
    <w:semiHidden/>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ytas.stalnionis@citu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4</cp:revision>
  <cp:lastPrinted>2018-09-12T07:36:00Z</cp:lastPrinted>
  <dcterms:created xsi:type="dcterms:W3CDTF">2022-10-03T12:51:00Z</dcterms:created>
  <dcterms:modified xsi:type="dcterms:W3CDTF">2022-11-07T11:01:00Z</dcterms:modified>
</cp:coreProperties>
</file>