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FEC4" w14:textId="77777777" w:rsidR="00DB7A31" w:rsidRDefault="00DB7A31">
      <w:pPr>
        <w:ind w:hanging="2"/>
        <w:rPr>
          <w:b/>
          <w:color w:val="767171"/>
          <w:sz w:val="28"/>
          <w:szCs w:val="28"/>
        </w:rPr>
      </w:pPr>
    </w:p>
    <w:p w14:paraId="094E7A40" w14:textId="77777777" w:rsidR="00DB7A31" w:rsidRDefault="00DB7A31">
      <w:pPr>
        <w:ind w:hanging="2"/>
        <w:rPr>
          <w:b/>
          <w:color w:val="767171"/>
          <w:sz w:val="28"/>
          <w:szCs w:val="28"/>
        </w:rPr>
      </w:pPr>
    </w:p>
    <w:p w14:paraId="22B4A2F2" w14:textId="1D5ACB27" w:rsidR="00DB7A31" w:rsidRDefault="00160A03">
      <w:pPr>
        <w:ind w:hanging="2"/>
        <w:rPr>
          <w:color w:val="767171"/>
        </w:rPr>
      </w:pPr>
      <w:r>
        <w:rPr>
          <w:b/>
          <w:color w:val="767171"/>
        </w:rPr>
        <w:t xml:space="preserve">2023 09 </w:t>
      </w:r>
      <w:r w:rsidR="008B6F3A">
        <w:rPr>
          <w:b/>
          <w:color w:val="767171"/>
        </w:rPr>
        <w:t>2</w:t>
      </w:r>
      <w:r w:rsidR="008D4EAA">
        <w:rPr>
          <w:b/>
          <w:color w:val="767171"/>
        </w:rPr>
        <w:t>8</w:t>
      </w:r>
      <w:r>
        <w:rPr>
          <w:b/>
          <w:color w:val="767171"/>
        </w:rPr>
        <w:t xml:space="preserve"> // </w:t>
      </w:r>
      <w:r w:rsidR="008D4EAA">
        <w:rPr>
          <w:b/>
          <w:color w:val="767171"/>
        </w:rPr>
        <w:t>Pranešimas žiniasklaidai</w:t>
      </w:r>
    </w:p>
    <w:p w14:paraId="06DBF283" w14:textId="77777777" w:rsidR="00DB7A31" w:rsidRDefault="00DB7A31">
      <w:pPr>
        <w:jc w:val="center"/>
        <w:rPr>
          <w:b/>
          <w:color w:val="374151"/>
          <w:shd w:val="clear" w:color="auto" w:fill="F7F7F8"/>
        </w:rPr>
      </w:pPr>
    </w:p>
    <w:p w14:paraId="3EF341D7" w14:textId="77777777" w:rsidR="00DB7A31" w:rsidRDefault="00160A03" w:rsidP="008D4EAA">
      <w:pPr>
        <w:jc w:val="center"/>
        <w:rPr>
          <w:b/>
        </w:rPr>
      </w:pPr>
      <w:r>
        <w:rPr>
          <w:b/>
        </w:rPr>
        <w:t>BGS ir „</w:t>
      </w:r>
      <w:proofErr w:type="spellStart"/>
      <w:r>
        <w:rPr>
          <w:b/>
        </w:rPr>
        <w:t>Turkish</w:t>
      </w:r>
      <w:proofErr w:type="spellEnd"/>
      <w:r>
        <w:rPr>
          <w:b/>
        </w:rPr>
        <w:t xml:space="preserve"> Airlines“ pratęsė bendradarbiavimą iki 2026 m.</w:t>
      </w:r>
    </w:p>
    <w:p w14:paraId="15319C11" w14:textId="77777777" w:rsidR="00DB7A31" w:rsidRDefault="00160A03">
      <w:pPr>
        <w:jc w:val="both"/>
      </w:pPr>
      <w:r>
        <w:t>BGS, tarptautinė antžeminio aptarnavimo, orlaivių degalų tiekimo ir logistikos įmonė, pratęsė ilgalaikį bendradarbiavimą su nacionaliniu Turkijos oro vežėju „</w:t>
      </w:r>
      <w:proofErr w:type="spellStart"/>
      <w:r>
        <w:t>Turkish</w:t>
      </w:r>
      <w:proofErr w:type="spellEnd"/>
      <w:r>
        <w:t xml:space="preserve"> Airlines“. Ateinančius trejus metus įmonė toliau teiks turkų oro linijoms antžeminio aptarnavimo paslaugas Tarptautiniame Vilniaus oro uoste.</w:t>
      </w:r>
    </w:p>
    <w:p w14:paraId="2B3CEC2D" w14:textId="77777777" w:rsidR="00DB7A31" w:rsidRDefault="00160A03">
      <w:pPr>
        <w:jc w:val="both"/>
      </w:pPr>
      <w:r>
        <w:t>„</w:t>
      </w:r>
      <w:proofErr w:type="spellStart"/>
      <w:r>
        <w:t>Turkish</w:t>
      </w:r>
      <w:proofErr w:type="spellEnd"/>
      <w:r>
        <w:t xml:space="preserve"> Airlines“ kasdien vykdo du skrydžius iš Vilniaus į Stambulą, o vasaros mėnesiais vykdomas ir papildomas trečias skrydis. </w:t>
      </w:r>
    </w:p>
    <w:p w14:paraId="5B3D566F" w14:textId="381427FD" w:rsidR="00DB7A31" w:rsidRDefault="00160A03">
      <w:pPr>
        <w:jc w:val="both"/>
      </w:pPr>
      <w:r>
        <w:t>„Džiaugiamės galėdami pratęsti jau daugiau nei dešimtmetį trunkantį bendradarbiavimą su „</w:t>
      </w:r>
      <w:proofErr w:type="spellStart"/>
      <w:r>
        <w:t>Turkish</w:t>
      </w:r>
      <w:proofErr w:type="spellEnd"/>
      <w:r>
        <w:t xml:space="preserve"> Airlines“. Šis žingsnis dar kartą rodo abipusį pasitikėjimą ir gerą verslo patirties vertinimą, – teigia  </w:t>
      </w:r>
      <w:r w:rsidR="00CF5BE0">
        <w:t>BGS grupės Komercijos vadovas</w:t>
      </w:r>
      <w:r>
        <w:t xml:space="preserve"> Vitalis </w:t>
      </w:r>
      <w:r w:rsidR="00CF5BE0">
        <w:t>Dūdys</w:t>
      </w:r>
      <w:r>
        <w:t xml:space="preserve">. </w:t>
      </w:r>
    </w:p>
    <w:p w14:paraId="5B29C33A" w14:textId="784EE3BB" w:rsidR="00DB7A31" w:rsidRDefault="00160A03">
      <w:pPr>
        <w:jc w:val="both"/>
      </w:pPr>
      <w:r>
        <w:t xml:space="preserve">Įmonių bendradarbiavimas prasidėjo 2013 m., kai </w:t>
      </w:r>
      <w:r w:rsidR="008225BE">
        <w:t xml:space="preserve">Turkijos oro </w:t>
      </w:r>
      <w:r>
        <w:t xml:space="preserve">vežėjas pradėjo skraidinti keleivius iš Vilniaus. BGS turi daugiau kaip 18 m. patirtį rinkoje ir šiuo metu veikia 10-yje oro uostų Europoje įskaitant Vilniaus, Kauno bei Palangos oro uostus. Tarp įmonės klientų – „LOT </w:t>
      </w:r>
      <w:proofErr w:type="spellStart"/>
      <w:r>
        <w:t>Polish</w:t>
      </w:r>
      <w:proofErr w:type="spellEnd"/>
      <w:r>
        <w:t xml:space="preserve"> Airlines“, „</w:t>
      </w:r>
      <w:proofErr w:type="spellStart"/>
      <w:r>
        <w:t>Finnair</w:t>
      </w:r>
      <w:proofErr w:type="spellEnd"/>
      <w:r>
        <w:t>“, „DHL“, „</w:t>
      </w:r>
      <w:proofErr w:type="spellStart"/>
      <w:r>
        <w:t>Wizz</w:t>
      </w:r>
      <w:proofErr w:type="spellEnd"/>
      <w:r>
        <w:t xml:space="preserve"> Air“, „SAS“ ir „Ryanair“.</w:t>
      </w:r>
    </w:p>
    <w:p w14:paraId="6C337F47" w14:textId="5CF1BC50" w:rsidR="00DB7A31" w:rsidRDefault="00160A03">
      <w:pPr>
        <w:spacing w:before="240" w:after="240"/>
        <w:jc w:val="both"/>
      </w:pPr>
      <w:r>
        <w:t xml:space="preserve">BGS priklauso Airijos įmonei „Avia </w:t>
      </w:r>
      <w:proofErr w:type="spellStart"/>
      <w:r>
        <w:t>Solutions</w:t>
      </w:r>
      <w:proofErr w:type="spellEnd"/>
      <w:r>
        <w:t xml:space="preserve"> Group“ —didžiausi</w:t>
      </w:r>
      <w:r w:rsidR="008B6F3A">
        <w:t>ai</w:t>
      </w:r>
      <w:r>
        <w:t xml:space="preserve"> pasaulyje ACMI (orlaivių nuoma su įgula, technine priežiūra ir draudimu) paslaugas teikiančių įmonių grup</w:t>
      </w:r>
      <w:r w:rsidR="008D4EAA">
        <w:t>ei</w:t>
      </w:r>
      <w:r>
        <w:t>, kurios orlaivių parką sudaro 192 lėktuvų. Grupės įmonės taip pat teikia įvairias aviacijos paslaugas, tokias kaip orlaivių remontas, pilotų bei įgulos mokymai, antžeminis aptarnavimas, ir kitas.</w:t>
      </w:r>
    </w:p>
    <w:p w14:paraId="0EA6C6A0" w14:textId="77777777" w:rsidR="00DB7A31" w:rsidRDefault="00DB7A31">
      <w:pPr>
        <w:spacing w:after="120"/>
        <w:rPr>
          <w:b/>
          <w:color w:val="000000"/>
        </w:rPr>
      </w:pPr>
    </w:p>
    <w:p w14:paraId="2F1E971B" w14:textId="77777777" w:rsidR="00DB7A31" w:rsidRDefault="00160A03">
      <w:pPr>
        <w:spacing w:after="120"/>
        <w:rPr>
          <w:b/>
          <w:color w:val="000000"/>
        </w:rPr>
      </w:pPr>
      <w:r>
        <w:rPr>
          <w:b/>
          <w:color w:val="000000"/>
        </w:rPr>
        <w:t xml:space="preserve">Media </w:t>
      </w:r>
      <w:proofErr w:type="spellStart"/>
      <w:r>
        <w:rPr>
          <w:b/>
          <w:color w:val="000000"/>
        </w:rPr>
        <w:t>contact</w:t>
      </w:r>
      <w:proofErr w:type="spellEnd"/>
      <w:r>
        <w:rPr>
          <w:b/>
          <w:color w:val="000000"/>
        </w:rPr>
        <w:t xml:space="preserve">: </w:t>
      </w:r>
    </w:p>
    <w:p w14:paraId="4397BC60" w14:textId="77777777" w:rsidR="00DB7A31" w:rsidRDefault="00160A03">
      <w:pPr>
        <w:spacing w:after="120"/>
        <w:ind w:hanging="2"/>
        <w:rPr>
          <w:color w:val="000000"/>
        </w:rPr>
      </w:pPr>
      <w:r>
        <w:rPr>
          <w:color w:val="000000"/>
        </w:rPr>
        <w:t xml:space="preserve">Silvija </w:t>
      </w:r>
      <w:proofErr w:type="spellStart"/>
      <w:r>
        <w:rPr>
          <w:color w:val="000000"/>
        </w:rPr>
        <w:t>Jakienė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  <w:t xml:space="preserve">Chief </w:t>
      </w:r>
      <w:proofErr w:type="spellStart"/>
      <w:r>
        <w:rPr>
          <w:color w:val="000000"/>
        </w:rPr>
        <w:t>Communications</w:t>
      </w:r>
      <w:proofErr w:type="spellEnd"/>
      <w:r>
        <w:rPr>
          <w:color w:val="000000"/>
        </w:rPr>
        <w:t xml:space="preserve"> Officer </w:t>
      </w:r>
      <w:r>
        <w:rPr>
          <w:color w:val="000000"/>
        </w:rPr>
        <w:br/>
        <w:t xml:space="preserve">Avia </w:t>
      </w:r>
      <w:proofErr w:type="spellStart"/>
      <w:r>
        <w:rPr>
          <w:color w:val="000000"/>
        </w:rPr>
        <w:t>Solutions</w:t>
      </w:r>
      <w:proofErr w:type="spellEnd"/>
      <w:r>
        <w:rPr>
          <w:color w:val="000000"/>
        </w:rPr>
        <w:t xml:space="preserve"> Group </w:t>
      </w:r>
      <w:r>
        <w:rPr>
          <w:color w:val="000000"/>
        </w:rPr>
        <w:br/>
        <w:t xml:space="preserve">silvija.jakiene@aviasg.com </w:t>
      </w:r>
      <w:r>
        <w:rPr>
          <w:color w:val="000000"/>
        </w:rPr>
        <w:br/>
        <w:t>+370 671 22697</w:t>
      </w:r>
    </w:p>
    <w:p w14:paraId="2F229959" w14:textId="77777777" w:rsidR="00DB7A31" w:rsidRDefault="00DB7A31">
      <w:pPr>
        <w:spacing w:after="120"/>
        <w:ind w:hanging="2"/>
        <w:jc w:val="right"/>
        <w:rPr>
          <w:color w:val="000000"/>
        </w:rPr>
      </w:pPr>
    </w:p>
    <w:p w14:paraId="5D61C971" w14:textId="77777777" w:rsidR="00DB7A31" w:rsidRDefault="00160A03">
      <w:pPr>
        <w:tabs>
          <w:tab w:val="left" w:pos="4146"/>
        </w:tabs>
        <w:spacing w:before="240" w:after="120"/>
        <w:jc w:val="both"/>
        <w:rPr>
          <w:b/>
          <w:i/>
        </w:rPr>
      </w:pPr>
      <w:r>
        <w:rPr>
          <w:b/>
          <w:i/>
        </w:rPr>
        <w:t xml:space="preserve">Apie BGS: </w:t>
      </w:r>
    </w:p>
    <w:p w14:paraId="0B79D34A" w14:textId="77777777" w:rsidR="00DB7A31" w:rsidRDefault="00160A03">
      <w:pPr>
        <w:tabs>
          <w:tab w:val="left" w:pos="4146"/>
        </w:tabs>
        <w:spacing w:before="240" w:after="120"/>
        <w:jc w:val="both"/>
        <w:rPr>
          <w:i/>
        </w:rPr>
      </w:pPr>
      <w:r>
        <w:rPr>
          <w:i/>
        </w:rPr>
        <w:t>BGS yra lyderiaujanti antžeminio orlaivių aptarnavimo, degalų tiekimo ir logistikos įmonė veikianti 10-yje Europos oro uostų.</w:t>
      </w:r>
    </w:p>
    <w:p w14:paraId="5BAB6C30" w14:textId="6ACC3198" w:rsidR="00DB7A31" w:rsidRDefault="00160A03">
      <w:pPr>
        <w:tabs>
          <w:tab w:val="left" w:pos="4146"/>
        </w:tabs>
        <w:spacing w:before="240" w:after="120"/>
        <w:jc w:val="both"/>
        <w:rPr>
          <w:i/>
        </w:rPr>
      </w:pPr>
      <w:r>
        <w:rPr>
          <w:i/>
        </w:rPr>
        <w:t xml:space="preserve">BGS priklauso „Avia </w:t>
      </w:r>
      <w:proofErr w:type="spellStart"/>
      <w:r>
        <w:rPr>
          <w:i/>
        </w:rPr>
        <w:t>Solutions</w:t>
      </w:r>
      <w:proofErr w:type="spellEnd"/>
      <w:r>
        <w:rPr>
          <w:i/>
        </w:rPr>
        <w:t xml:space="preserve"> Group“ — didžiausi</w:t>
      </w:r>
      <w:r w:rsidR="008B6F3A">
        <w:rPr>
          <w:i/>
        </w:rPr>
        <w:t>ai</w:t>
      </w:r>
      <w:r>
        <w:rPr>
          <w:i/>
        </w:rPr>
        <w:t xml:space="preserve"> pasaulyje ACMI (orlaivių nuoma su įgula, technine priežiūra ir draudimu) paslaugas teikiančių įmonių grup</w:t>
      </w:r>
      <w:r w:rsidR="008D4EAA">
        <w:rPr>
          <w:i/>
        </w:rPr>
        <w:t>ei</w:t>
      </w:r>
      <w:r>
        <w:rPr>
          <w:i/>
        </w:rPr>
        <w:t>, turinčiai 192 orlaivių parką. Grupei priklauso įmonės „SmartLynx Airlines“, „</w:t>
      </w:r>
      <w:proofErr w:type="spellStart"/>
      <w:r>
        <w:rPr>
          <w:i/>
        </w:rPr>
        <w:t>Avion</w:t>
      </w:r>
      <w:proofErr w:type="spellEnd"/>
      <w:r>
        <w:rPr>
          <w:i/>
        </w:rPr>
        <w:t xml:space="preserve"> Express“, „</w:t>
      </w:r>
      <w:proofErr w:type="spellStart"/>
      <w:r>
        <w:rPr>
          <w:i/>
        </w:rPr>
        <w:t>BlueBird</w:t>
      </w:r>
      <w:proofErr w:type="spellEnd"/>
      <w:r>
        <w:rPr>
          <w:i/>
        </w:rPr>
        <w:t xml:space="preserve"> Nordic“, „BBN </w:t>
      </w:r>
      <w:proofErr w:type="spellStart"/>
      <w:r>
        <w:rPr>
          <w:i/>
        </w:rPr>
        <w:t>Indonesia</w:t>
      </w:r>
      <w:proofErr w:type="spellEnd"/>
      <w:r>
        <w:rPr>
          <w:i/>
        </w:rPr>
        <w:t xml:space="preserve"> Airlines“, „KlasJet“, „Magma Aviation“, ir kitos. Grupės įmonės taip pat teikia įvairias aviacijos paslaugas, tokias kaip orlaivių remontas, pilotų bei įgulos mokymai, antžeminis aptarnavimas. „Avia </w:t>
      </w:r>
      <w:proofErr w:type="spellStart"/>
      <w:r>
        <w:rPr>
          <w:i/>
        </w:rPr>
        <w:t>Solutions</w:t>
      </w:r>
      <w:proofErr w:type="spellEnd"/>
      <w:r>
        <w:rPr>
          <w:i/>
        </w:rPr>
        <w:t xml:space="preserve"> Group“ dirba daugiau kaip 11,5 tūkst. profesionalų įvairiose pasaulio šalyse.</w:t>
      </w:r>
    </w:p>
    <w:p w14:paraId="5A625104" w14:textId="77777777" w:rsidR="00DB7A31" w:rsidRDefault="00160A03">
      <w:pPr>
        <w:tabs>
          <w:tab w:val="left" w:pos="4146"/>
        </w:tabs>
        <w:spacing w:before="240" w:after="120"/>
        <w:jc w:val="both"/>
        <w:rPr>
          <w:i/>
        </w:rPr>
      </w:pPr>
      <w:r>
        <w:rPr>
          <w:i/>
        </w:rPr>
        <w:lastRenderedPageBreak/>
        <w:t xml:space="preserve">Norėdami sužinoti daugiau, apsilankykite: www.bgs.aero ir www.aviasg.com    </w:t>
      </w:r>
    </w:p>
    <w:p w14:paraId="08CAEFA8" w14:textId="77777777" w:rsidR="00DB7A31" w:rsidRDefault="00DB7A31">
      <w:pPr>
        <w:tabs>
          <w:tab w:val="left" w:pos="4146"/>
        </w:tabs>
        <w:rPr>
          <w:b/>
        </w:rPr>
      </w:pPr>
    </w:p>
    <w:p w14:paraId="6C58B467" w14:textId="77777777" w:rsidR="00DB7A31" w:rsidRDefault="00DB7A31">
      <w:pPr>
        <w:tabs>
          <w:tab w:val="left" w:pos="4146"/>
        </w:tabs>
      </w:pPr>
    </w:p>
    <w:sectPr w:rsidR="00DB7A31">
      <w:headerReference w:type="default" r:id="rId9"/>
      <w:footerReference w:type="default" r:id="rId10"/>
      <w:pgSz w:w="11900" w:h="16840"/>
      <w:pgMar w:top="567" w:right="567" w:bottom="719" w:left="1418" w:header="567" w:footer="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798F4" w14:textId="77777777" w:rsidR="00E46835" w:rsidRDefault="00E46835">
      <w:pPr>
        <w:spacing w:after="0"/>
      </w:pPr>
      <w:r>
        <w:separator/>
      </w:r>
    </w:p>
  </w:endnote>
  <w:endnote w:type="continuationSeparator" w:id="0">
    <w:p w14:paraId="7A1D55A7" w14:textId="77777777" w:rsidR="00E46835" w:rsidRDefault="00E468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E044" w14:textId="77777777" w:rsidR="00DB7A31" w:rsidRDefault="00160A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418"/>
      <w:rPr>
        <w:color w:val="000000"/>
      </w:rPr>
    </w:pPr>
    <w:r>
      <w:rPr>
        <w:color w:val="000000"/>
      </w:rPr>
      <w:tab/>
    </w:r>
  </w:p>
  <w:p w14:paraId="150E5F15" w14:textId="77777777" w:rsidR="00DB7A31" w:rsidRDefault="00DB7A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418"/>
      <w:rPr>
        <w:color w:val="000000"/>
      </w:rPr>
    </w:pPr>
  </w:p>
  <w:p w14:paraId="63625BF4" w14:textId="77777777" w:rsidR="00DB7A31" w:rsidRDefault="00DB7A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418"/>
      <w:rPr>
        <w:color w:val="000000"/>
      </w:rPr>
    </w:pPr>
  </w:p>
  <w:p w14:paraId="4F6E89BD" w14:textId="77777777" w:rsidR="00DB7A31" w:rsidRDefault="00DB7A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418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830E" w14:textId="77777777" w:rsidR="00E46835" w:rsidRDefault="00E46835">
      <w:pPr>
        <w:spacing w:after="0"/>
      </w:pPr>
      <w:r>
        <w:separator/>
      </w:r>
    </w:p>
  </w:footnote>
  <w:footnote w:type="continuationSeparator" w:id="0">
    <w:p w14:paraId="2C8EE951" w14:textId="77777777" w:rsidR="00E46835" w:rsidRDefault="00E468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D1F1" w14:textId="77777777" w:rsidR="00DB7A31" w:rsidRDefault="00160A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4EAF00" wp14:editId="7F9C882F">
          <wp:simplePos x="0" y="0"/>
          <wp:positionH relativeFrom="column">
            <wp:posOffset>-900427</wp:posOffset>
          </wp:positionH>
          <wp:positionV relativeFrom="paragraph">
            <wp:posOffset>-346073</wp:posOffset>
          </wp:positionV>
          <wp:extent cx="7577766" cy="133259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766" cy="1332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67F5A0" w14:textId="77777777" w:rsidR="00DB7A31" w:rsidRDefault="00DB7A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426"/>
      <w:jc w:val="center"/>
      <w:rPr>
        <w:color w:val="000000"/>
      </w:rPr>
    </w:pPr>
  </w:p>
  <w:p w14:paraId="6F46C441" w14:textId="77777777" w:rsidR="00DB7A31" w:rsidRDefault="00DB7A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426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31"/>
    <w:rsid w:val="000C6F71"/>
    <w:rsid w:val="00160A03"/>
    <w:rsid w:val="003054E0"/>
    <w:rsid w:val="00462376"/>
    <w:rsid w:val="00486FFA"/>
    <w:rsid w:val="0077410D"/>
    <w:rsid w:val="008225BE"/>
    <w:rsid w:val="008B6F3A"/>
    <w:rsid w:val="008D4EAA"/>
    <w:rsid w:val="00CF5BE0"/>
    <w:rsid w:val="00CF75DF"/>
    <w:rsid w:val="00DB7A31"/>
    <w:rsid w:val="00E4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B6DA"/>
  <w15:docId w15:val="{6E5E56A1-C344-442D-B3D5-7B74C345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lt-LT" w:eastAsia="lt-L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BDA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B1A4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1A41"/>
  </w:style>
  <w:style w:type="paragraph" w:styleId="Footer">
    <w:name w:val="footer"/>
    <w:basedOn w:val="Normal"/>
    <w:link w:val="FooterChar"/>
    <w:uiPriority w:val="99"/>
    <w:unhideWhenUsed/>
    <w:rsid w:val="00BB1A4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1A41"/>
  </w:style>
  <w:style w:type="table" w:styleId="LightShading-Accent1">
    <w:name w:val="Light Shading Accent 1"/>
    <w:basedOn w:val="TableNormal"/>
    <w:uiPriority w:val="60"/>
    <w:rsid w:val="004077AC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link w:val="NoSpacingChar"/>
    <w:qFormat/>
    <w:rsid w:val="004077AC"/>
    <w:rPr>
      <w:rFonts w:ascii="PMingLiU" w:eastAsia="Times New Roman" w:hAnsi="PMingLiU"/>
      <w:sz w:val="22"/>
      <w:szCs w:val="22"/>
      <w:lang w:eastAsia="en-US"/>
    </w:rPr>
  </w:style>
  <w:style w:type="character" w:customStyle="1" w:styleId="NoSpacingChar">
    <w:name w:val="No Spacing Char"/>
    <w:link w:val="NoSpacing"/>
    <w:rsid w:val="004077AC"/>
    <w:rPr>
      <w:rFonts w:ascii="PMingLiU" w:eastAsia="Times New Roman" w:hAnsi="PMingLiU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681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ijaFedotova">
    <w:name w:val="Marija Fedotova"/>
    <w:semiHidden/>
    <w:rsid w:val="009C1ED0"/>
    <w:rPr>
      <w:rFonts w:ascii="Arial" w:hAnsi="Arial" w:cs="Arial"/>
      <w:color w:val="auto"/>
      <w:sz w:val="20"/>
      <w:szCs w:val="20"/>
    </w:rPr>
  </w:style>
  <w:style w:type="character" w:styleId="Hyperlink">
    <w:name w:val="Hyperlink"/>
    <w:rsid w:val="00FA0327"/>
    <w:rPr>
      <w:color w:val="0000FF"/>
      <w:u w:val="single"/>
    </w:rPr>
  </w:style>
  <w:style w:type="paragraph" w:styleId="BalloonText">
    <w:name w:val="Balloon Text"/>
    <w:basedOn w:val="Normal"/>
    <w:semiHidden/>
    <w:rsid w:val="006E71DD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5E044B"/>
  </w:style>
  <w:style w:type="paragraph" w:styleId="NormalWeb">
    <w:name w:val="Normal (Web)"/>
    <w:basedOn w:val="Normal"/>
    <w:uiPriority w:val="99"/>
    <w:semiHidden/>
    <w:unhideWhenUsed/>
    <w:rsid w:val="006C459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96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0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03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039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15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54ED"/>
    <w:rPr>
      <w:lang w:eastAsia="en-US"/>
    </w:rPr>
  </w:style>
  <w:style w:type="character" w:styleId="Mention">
    <w:name w:val="Mention"/>
    <w:basedOn w:val="DefaultParagraphFont"/>
    <w:uiPriority w:val="99"/>
    <w:unhideWhenUsed/>
    <w:rsid w:val="00B86ADB"/>
    <w:rPr>
      <w:color w:val="2B579A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ciYrrXfgZhCMiaRKMdRDFYwczA==">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9460B2C3CD752419BA1A3A3A9C14D82" ma:contentTypeVersion="10" ma:contentTypeDescription="Kurkite naują dokumentą." ma:contentTypeScope="" ma:versionID="3b13e40730e09fd147ab19adf2e35b18">
  <xsd:schema xmlns:xsd="http://www.w3.org/2001/XMLSchema" xmlns:xs="http://www.w3.org/2001/XMLSchema" xmlns:p="http://schemas.microsoft.com/office/2006/metadata/properties" xmlns:ns2="91b16719-536f-4fdf-94c4-f7ad0f841ac6" xmlns:ns3="97e133d7-b86e-4fab-b5e8-6f5a836374a6" targetNamespace="http://schemas.microsoft.com/office/2006/metadata/properties" ma:root="true" ma:fieldsID="455001525ce5be28c5d080023f52888e" ns2:_="" ns3:_="">
    <xsd:import namespace="91b16719-536f-4fdf-94c4-f7ad0f841ac6"/>
    <xsd:import namespace="97e133d7-b86e-4fab-b5e8-6f5a83637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6719-536f-4fdf-94c4-f7ad0f841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aa8903c-ff32-4229-ad92-43bf1883327a}" ma:internalName="TaxCatchAll" ma:showField="CatchAllData" ma:web="91b16719-536f-4fdf-94c4-f7ad0f841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133d7-b86e-4fab-b5e8-6f5a83637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b7e2390f-612a-4ddf-8ccc-8ab7670ff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DB0A85-850E-46DB-A472-6566BFA2E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16719-536f-4fdf-94c4-f7ad0f841ac6"/>
    <ds:schemaRef ds:uri="97e133d7-b86e-4fab-b5e8-6f5a83637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E496F-1B66-4656-A9D4-025DC274A8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2058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Amber</dc:creator>
  <cp:lastModifiedBy>Zydrune Budnike | ASG</cp:lastModifiedBy>
  <cp:revision>3</cp:revision>
  <dcterms:created xsi:type="dcterms:W3CDTF">2023-09-27T13:04:00Z</dcterms:created>
  <dcterms:modified xsi:type="dcterms:W3CDTF">2023-09-28T06:06:00Z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909cc11d952b8e8bdf6f19e7fee83247cc435f67b50321eda6d074240967da6a</vt:lpwstr>
  </property>
  <property fmtid="{D5CDD505-2E9C-101B-9397-08002B2CF9AE}" pid="3" name="MediaServiceImageTags">
    <vt:lpwstr/>
  </property>
  <property fmtid="{D5CDD505-2E9C-101B-9397-08002B2CF9AE}" pid="4" name="ContentTypeId">
    <vt:lpwstr>0x010100B9460B2C3CD752419BA1A3A3A9C14D82</vt:lpwstr>
  </property>
</Properties>
</file>