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9D17" w14:textId="77777777" w:rsidR="00411D72" w:rsidRPr="00136669" w:rsidRDefault="00411D72" w:rsidP="00411D72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lang w:val="fi-FI"/>
          <w14:ligatures w14:val="none"/>
        </w:rPr>
      </w:pPr>
      <w:r w:rsidRPr="00B00E6B">
        <w:rPr>
          <w:rFonts w:ascii="Times New Roman" w:eastAsia="Aptos" w:hAnsi="Times New Roman" w:cs="Times New Roman"/>
          <w:kern w:val="0"/>
          <w14:ligatures w14:val="none"/>
        </w:rPr>
        <w:t>Pranešimas</w:t>
      </w:r>
      <w:r w:rsidRPr="00136669">
        <w:rPr>
          <w:rFonts w:ascii="Times New Roman" w:eastAsia="Aptos" w:hAnsi="Times New Roman" w:cs="Times New Roman"/>
          <w:kern w:val="0"/>
          <w:lang w:val="fi-FI"/>
          <w14:ligatures w14:val="none"/>
        </w:rPr>
        <w:t xml:space="preserve"> </w:t>
      </w:r>
      <w:r>
        <w:rPr>
          <w:rFonts w:ascii="Times New Roman" w:eastAsia="Aptos" w:hAnsi="Times New Roman" w:cs="Times New Roman"/>
          <w:kern w:val="0"/>
          <w14:ligatures w14:val="none"/>
        </w:rPr>
        <w:t>spaudai</w:t>
      </w:r>
    </w:p>
    <w:p w14:paraId="779D5EC8" w14:textId="0195FF77" w:rsidR="00411D72" w:rsidRPr="00136669" w:rsidRDefault="00411D72" w:rsidP="00411D72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136669">
        <w:rPr>
          <w:rFonts w:ascii="Times New Roman" w:eastAsia="Aptos" w:hAnsi="Times New Roman" w:cs="Times New Roman"/>
          <w:kern w:val="0"/>
          <w:lang w:val="fi-FI"/>
          <w14:ligatures w14:val="none"/>
        </w:rPr>
        <w:t xml:space="preserve">2025 m. </w:t>
      </w:r>
      <w:r w:rsidR="009F51DB">
        <w:rPr>
          <w:rFonts w:ascii="Times New Roman" w:eastAsia="Aptos" w:hAnsi="Times New Roman" w:cs="Times New Roman"/>
          <w:kern w:val="0"/>
          <w14:ligatures w14:val="none"/>
        </w:rPr>
        <w:t>balandžio</w:t>
      </w:r>
      <w:r w:rsidRPr="0013666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9F51DB">
        <w:rPr>
          <w:rFonts w:ascii="Times New Roman" w:eastAsia="Aptos" w:hAnsi="Times New Roman" w:cs="Times New Roman"/>
          <w:kern w:val="0"/>
          <w14:ligatures w14:val="none"/>
        </w:rPr>
        <w:t>08</w:t>
      </w:r>
      <w:r w:rsidRPr="00136669">
        <w:rPr>
          <w:rFonts w:ascii="Times New Roman" w:eastAsia="Aptos" w:hAnsi="Times New Roman" w:cs="Times New Roman"/>
          <w:kern w:val="0"/>
          <w14:ligatures w14:val="none"/>
        </w:rPr>
        <w:t xml:space="preserve"> d.</w:t>
      </w:r>
    </w:p>
    <w:p w14:paraId="1DC2297F" w14:textId="77777777" w:rsidR="00411D72" w:rsidRDefault="00411D72" w:rsidP="00411D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AF3DE" w14:textId="32822FA1" w:rsidR="008846A8" w:rsidRPr="00411D72" w:rsidRDefault="006357E6" w:rsidP="00411D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411D72">
        <w:rPr>
          <w:rFonts w:ascii="Times New Roman" w:hAnsi="Times New Roman" w:cs="Times New Roman"/>
          <w:b/>
          <w:bCs/>
          <w:sz w:val="28"/>
          <w:szCs w:val="28"/>
        </w:rPr>
        <w:t xml:space="preserve">endras </w:t>
      </w:r>
      <w:r w:rsidR="00A24722" w:rsidRPr="00411D72">
        <w:rPr>
          <w:rFonts w:ascii="Times New Roman" w:hAnsi="Times New Roman" w:cs="Times New Roman"/>
          <w:b/>
          <w:bCs/>
          <w:sz w:val="28"/>
          <w:szCs w:val="28"/>
        </w:rPr>
        <w:t xml:space="preserve">Lietuvos pensijų fondų pelningumas </w:t>
      </w:r>
      <w:r w:rsidR="00DD29D3" w:rsidRPr="00411D72">
        <w:rPr>
          <w:rFonts w:ascii="Times New Roman" w:hAnsi="Times New Roman" w:cs="Times New Roman"/>
          <w:b/>
          <w:bCs/>
          <w:sz w:val="28"/>
          <w:szCs w:val="28"/>
        </w:rPr>
        <w:t xml:space="preserve">nuo </w:t>
      </w:r>
      <w:r>
        <w:rPr>
          <w:rFonts w:ascii="Times New Roman" w:hAnsi="Times New Roman" w:cs="Times New Roman"/>
          <w:b/>
          <w:bCs/>
          <w:sz w:val="28"/>
          <w:szCs w:val="28"/>
        </w:rPr>
        <w:t>gyvenimo ciklo fondų</w:t>
      </w:r>
      <w:r w:rsidR="001B4722" w:rsidRPr="00411D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pradžios </w:t>
      </w:r>
      <w:r w:rsidR="005354DF" w:rsidRPr="00411D72">
        <w:rPr>
          <w:rFonts w:ascii="Times New Roman" w:hAnsi="Times New Roman" w:cs="Times New Roman"/>
          <w:b/>
          <w:bCs/>
          <w:sz w:val="28"/>
          <w:szCs w:val="28"/>
        </w:rPr>
        <w:t>viršija</w:t>
      </w:r>
      <w:r w:rsidR="009F0BE0" w:rsidRPr="00411D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4722" w:rsidRPr="00411D72">
        <w:rPr>
          <w:rFonts w:ascii="Times New Roman" w:hAnsi="Times New Roman" w:cs="Times New Roman"/>
          <w:b/>
          <w:bCs/>
          <w:sz w:val="28"/>
          <w:szCs w:val="28"/>
        </w:rPr>
        <w:t>70 proc.</w:t>
      </w:r>
      <w:r w:rsidR="00496FF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07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411D72">
        <w:rPr>
          <w:rFonts w:ascii="Times New Roman" w:hAnsi="Times New Roman" w:cs="Times New Roman"/>
          <w:b/>
          <w:bCs/>
          <w:sz w:val="28"/>
          <w:szCs w:val="28"/>
        </w:rPr>
        <w:t xml:space="preserve">epaisant </w:t>
      </w:r>
      <w:r w:rsidR="00CD1EA1">
        <w:rPr>
          <w:rFonts w:ascii="Times New Roman" w:hAnsi="Times New Roman" w:cs="Times New Roman"/>
          <w:b/>
          <w:bCs/>
          <w:sz w:val="28"/>
          <w:szCs w:val="28"/>
        </w:rPr>
        <w:t xml:space="preserve">rinkų kritimo </w:t>
      </w:r>
      <w:r w:rsidR="00496FF0" w:rsidRPr="00411D72">
        <w:rPr>
          <w:rFonts w:ascii="Times New Roman" w:hAnsi="Times New Roman" w:cs="Times New Roman"/>
          <w:b/>
          <w:bCs/>
          <w:sz w:val="28"/>
          <w:szCs w:val="28"/>
        </w:rPr>
        <w:t>pirm</w:t>
      </w:r>
      <w:r w:rsidR="00CD1EA1">
        <w:rPr>
          <w:rFonts w:ascii="Times New Roman" w:hAnsi="Times New Roman" w:cs="Times New Roman"/>
          <w:b/>
          <w:bCs/>
          <w:sz w:val="28"/>
          <w:szCs w:val="28"/>
        </w:rPr>
        <w:t>ąjį</w:t>
      </w:r>
      <w:r w:rsidR="00496FF0" w:rsidRPr="00411D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6FF0">
        <w:rPr>
          <w:rFonts w:ascii="Times New Roman" w:hAnsi="Times New Roman" w:cs="Times New Roman"/>
          <w:b/>
          <w:bCs/>
          <w:sz w:val="28"/>
          <w:szCs w:val="28"/>
        </w:rPr>
        <w:t xml:space="preserve">šių metų </w:t>
      </w:r>
      <w:r w:rsidRPr="00411D72">
        <w:rPr>
          <w:rFonts w:ascii="Times New Roman" w:hAnsi="Times New Roman" w:cs="Times New Roman"/>
          <w:b/>
          <w:bCs/>
          <w:sz w:val="28"/>
          <w:szCs w:val="28"/>
        </w:rPr>
        <w:t>ketvir</w:t>
      </w:r>
      <w:r w:rsidR="00CD1EA1">
        <w:rPr>
          <w:rFonts w:ascii="Times New Roman" w:hAnsi="Times New Roman" w:cs="Times New Roman"/>
          <w:b/>
          <w:bCs/>
          <w:sz w:val="28"/>
          <w:szCs w:val="28"/>
        </w:rPr>
        <w:t>tį</w:t>
      </w:r>
      <w:r w:rsidR="00107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1CADDB" w14:textId="7D330090" w:rsidR="00A01B71" w:rsidRPr="00411D72" w:rsidRDefault="00A01B71" w:rsidP="00411D72">
      <w:pPr>
        <w:jc w:val="both"/>
        <w:rPr>
          <w:rFonts w:ascii="Times New Roman" w:hAnsi="Times New Roman" w:cs="Times New Roman"/>
          <w:b/>
          <w:bCs/>
        </w:rPr>
      </w:pPr>
      <w:r w:rsidRPr="00411D72">
        <w:rPr>
          <w:rFonts w:ascii="Times New Roman" w:hAnsi="Times New Roman" w:cs="Times New Roman"/>
          <w:b/>
          <w:bCs/>
        </w:rPr>
        <w:t xml:space="preserve">Reaguodami į </w:t>
      </w:r>
      <w:r w:rsidR="00A87E7D" w:rsidRPr="00411D72">
        <w:rPr>
          <w:rFonts w:ascii="Times New Roman" w:hAnsi="Times New Roman" w:cs="Times New Roman"/>
          <w:b/>
          <w:bCs/>
        </w:rPr>
        <w:t xml:space="preserve">naujuosius </w:t>
      </w:r>
      <w:r w:rsidRPr="00411D72">
        <w:rPr>
          <w:rFonts w:ascii="Times New Roman" w:hAnsi="Times New Roman" w:cs="Times New Roman"/>
          <w:b/>
          <w:bCs/>
        </w:rPr>
        <w:t xml:space="preserve">Jungtinių Valstijų </w:t>
      </w:r>
      <w:r w:rsidR="00295DFA" w:rsidRPr="00411D72">
        <w:rPr>
          <w:rFonts w:ascii="Times New Roman" w:hAnsi="Times New Roman" w:cs="Times New Roman"/>
          <w:b/>
          <w:bCs/>
        </w:rPr>
        <w:t xml:space="preserve">ekonominius sprendimus, </w:t>
      </w:r>
      <w:r w:rsidR="00C2519D" w:rsidRPr="00411D72">
        <w:rPr>
          <w:rFonts w:ascii="Times New Roman" w:hAnsi="Times New Roman" w:cs="Times New Roman"/>
          <w:b/>
          <w:bCs/>
        </w:rPr>
        <w:t>pirmąjį šių metų ketvirtį viso pasaulio finansiniai instrumentai fiksavo nuos</w:t>
      </w:r>
      <w:r w:rsidR="00C82990" w:rsidRPr="00411D72">
        <w:rPr>
          <w:rFonts w:ascii="Times New Roman" w:hAnsi="Times New Roman" w:cs="Times New Roman"/>
          <w:b/>
          <w:bCs/>
        </w:rPr>
        <w:t>mukį</w:t>
      </w:r>
      <w:r w:rsidR="009C30B8" w:rsidRPr="00411D72">
        <w:rPr>
          <w:rFonts w:ascii="Times New Roman" w:hAnsi="Times New Roman" w:cs="Times New Roman"/>
          <w:b/>
          <w:bCs/>
        </w:rPr>
        <w:t xml:space="preserve">. </w:t>
      </w:r>
      <w:r w:rsidR="000472FA">
        <w:rPr>
          <w:rFonts w:ascii="Times New Roman" w:hAnsi="Times New Roman" w:cs="Times New Roman"/>
          <w:b/>
          <w:bCs/>
        </w:rPr>
        <w:t xml:space="preserve">Tad nors ilguoju periodu, nuo veiklos pradžios, </w:t>
      </w:r>
      <w:r w:rsidR="000472FA" w:rsidRPr="00411D72">
        <w:rPr>
          <w:rFonts w:ascii="Times New Roman" w:hAnsi="Times New Roman" w:cs="Times New Roman"/>
          <w:b/>
          <w:bCs/>
        </w:rPr>
        <w:t>Lietuvos pensijų fondai</w:t>
      </w:r>
      <w:r w:rsidR="000472FA">
        <w:rPr>
          <w:rFonts w:ascii="Times New Roman" w:hAnsi="Times New Roman" w:cs="Times New Roman"/>
          <w:b/>
          <w:bCs/>
        </w:rPr>
        <w:t xml:space="preserve"> fiksuoja </w:t>
      </w:r>
      <w:r w:rsidR="004D3C2B">
        <w:rPr>
          <w:rFonts w:ascii="Times New Roman" w:hAnsi="Times New Roman" w:cs="Times New Roman"/>
          <w:b/>
          <w:bCs/>
        </w:rPr>
        <w:t xml:space="preserve">didesnį nei 70 proc. augimą, </w:t>
      </w:r>
      <w:r w:rsidR="009C30B8" w:rsidRPr="00411D72">
        <w:rPr>
          <w:rFonts w:ascii="Times New Roman" w:hAnsi="Times New Roman" w:cs="Times New Roman"/>
          <w:b/>
          <w:bCs/>
        </w:rPr>
        <w:t xml:space="preserve">nuo 2024-ųjų pabaigos </w:t>
      </w:r>
      <w:r w:rsidR="004D3C2B">
        <w:rPr>
          <w:rFonts w:ascii="Times New Roman" w:hAnsi="Times New Roman" w:cs="Times New Roman"/>
          <w:b/>
          <w:bCs/>
        </w:rPr>
        <w:t xml:space="preserve">juose </w:t>
      </w:r>
      <w:r w:rsidR="004D3C2B" w:rsidRPr="00411D72">
        <w:rPr>
          <w:rFonts w:ascii="Times New Roman" w:hAnsi="Times New Roman" w:cs="Times New Roman"/>
          <w:b/>
          <w:bCs/>
        </w:rPr>
        <w:t xml:space="preserve">sukauptas turtas </w:t>
      </w:r>
      <w:r w:rsidR="0047699D">
        <w:rPr>
          <w:rFonts w:ascii="Times New Roman" w:hAnsi="Times New Roman" w:cs="Times New Roman"/>
          <w:b/>
          <w:bCs/>
        </w:rPr>
        <w:t xml:space="preserve">taip pat </w:t>
      </w:r>
      <w:r w:rsidR="009C30B8" w:rsidRPr="00411D72">
        <w:rPr>
          <w:rFonts w:ascii="Times New Roman" w:hAnsi="Times New Roman" w:cs="Times New Roman"/>
          <w:b/>
          <w:bCs/>
        </w:rPr>
        <w:t xml:space="preserve">sumažėjo nepilnais 244 tūkst. eurų ir </w:t>
      </w:r>
      <w:r w:rsidR="008356D9" w:rsidRPr="00411D72">
        <w:rPr>
          <w:rFonts w:ascii="Times New Roman" w:hAnsi="Times New Roman" w:cs="Times New Roman"/>
          <w:b/>
          <w:bCs/>
        </w:rPr>
        <w:t xml:space="preserve">kovo pabaigoje siekė 8,88 mlrd. eurų. </w:t>
      </w:r>
    </w:p>
    <w:p w14:paraId="470D7ABB" w14:textId="1B2E28E4" w:rsidR="008356D9" w:rsidRPr="00411D72" w:rsidRDefault="00E63530" w:rsidP="00411D72">
      <w:pPr>
        <w:jc w:val="both"/>
        <w:rPr>
          <w:rFonts w:ascii="Times New Roman" w:hAnsi="Times New Roman" w:cs="Times New Roman"/>
        </w:rPr>
      </w:pPr>
      <w:r w:rsidRPr="00411D72">
        <w:rPr>
          <w:rFonts w:ascii="Times New Roman" w:hAnsi="Times New Roman" w:cs="Times New Roman"/>
        </w:rPr>
        <w:t>Lietuvos investicinių ir pensijų fondų asociacij</w:t>
      </w:r>
      <w:r w:rsidR="0085075E" w:rsidRPr="00411D72">
        <w:rPr>
          <w:rFonts w:ascii="Times New Roman" w:hAnsi="Times New Roman" w:cs="Times New Roman"/>
        </w:rPr>
        <w:t>os</w:t>
      </w:r>
      <w:r w:rsidRPr="00411D72">
        <w:rPr>
          <w:rFonts w:ascii="Times New Roman" w:hAnsi="Times New Roman" w:cs="Times New Roman"/>
        </w:rPr>
        <w:t xml:space="preserve"> (LIPFA) vadovas Tadas Gudaitis pabrėžia, kad tai </w:t>
      </w:r>
      <w:r w:rsidR="00A119DF" w:rsidRPr="00411D72">
        <w:rPr>
          <w:rFonts w:ascii="Times New Roman" w:hAnsi="Times New Roman" w:cs="Times New Roman"/>
        </w:rPr>
        <w:t xml:space="preserve">iš esmės </w:t>
      </w:r>
      <w:r w:rsidRPr="00411D72">
        <w:rPr>
          <w:rFonts w:ascii="Times New Roman" w:hAnsi="Times New Roman" w:cs="Times New Roman"/>
        </w:rPr>
        <w:t xml:space="preserve">nepaveikė ilgalaikių </w:t>
      </w:r>
      <w:r w:rsidR="002F05D8" w:rsidRPr="00411D72">
        <w:rPr>
          <w:rFonts w:ascii="Times New Roman" w:hAnsi="Times New Roman" w:cs="Times New Roman"/>
        </w:rPr>
        <w:t xml:space="preserve">pensijų fondų veiklos rezultatų. </w:t>
      </w:r>
    </w:p>
    <w:p w14:paraId="65716333" w14:textId="302AB8EF" w:rsidR="00AD2E21" w:rsidRPr="00411D72" w:rsidRDefault="00AD2E21" w:rsidP="00411D72">
      <w:pPr>
        <w:jc w:val="both"/>
        <w:rPr>
          <w:rFonts w:ascii="Times New Roman" w:hAnsi="Times New Roman" w:cs="Times New Roman"/>
        </w:rPr>
      </w:pPr>
      <w:r w:rsidRPr="00411D72">
        <w:rPr>
          <w:rFonts w:ascii="Times New Roman" w:hAnsi="Times New Roman" w:cs="Times New Roman"/>
        </w:rPr>
        <w:t>„</w:t>
      </w:r>
      <w:r w:rsidR="002F05D8" w:rsidRPr="00411D72">
        <w:rPr>
          <w:rFonts w:ascii="Times New Roman" w:hAnsi="Times New Roman" w:cs="Times New Roman"/>
        </w:rPr>
        <w:t xml:space="preserve">Po itin sėkmingos pastarųjų </w:t>
      </w:r>
      <w:r w:rsidR="00C86AEE" w:rsidRPr="00411D72">
        <w:rPr>
          <w:rFonts w:ascii="Times New Roman" w:hAnsi="Times New Roman" w:cs="Times New Roman"/>
        </w:rPr>
        <w:t xml:space="preserve">dvejų </w:t>
      </w:r>
      <w:r w:rsidR="002F05D8" w:rsidRPr="00411D72">
        <w:rPr>
          <w:rFonts w:ascii="Times New Roman" w:hAnsi="Times New Roman" w:cs="Times New Roman"/>
        </w:rPr>
        <w:t>metų pensijų fondų veiklos</w:t>
      </w:r>
      <w:r w:rsidR="00A119DF" w:rsidRPr="00411D72">
        <w:rPr>
          <w:rFonts w:ascii="Times New Roman" w:hAnsi="Times New Roman" w:cs="Times New Roman"/>
        </w:rPr>
        <w:t>,</w:t>
      </w:r>
      <w:r w:rsidR="002F05D8" w:rsidRPr="00411D72">
        <w:rPr>
          <w:rFonts w:ascii="Times New Roman" w:hAnsi="Times New Roman" w:cs="Times New Roman"/>
        </w:rPr>
        <w:t xml:space="preserve"> </w:t>
      </w:r>
      <w:r w:rsidR="00A119DF" w:rsidRPr="00411D72">
        <w:rPr>
          <w:rFonts w:ascii="Times New Roman" w:hAnsi="Times New Roman" w:cs="Times New Roman"/>
        </w:rPr>
        <w:t xml:space="preserve">kuomet </w:t>
      </w:r>
      <w:r w:rsidR="004067C3" w:rsidRPr="00411D72">
        <w:rPr>
          <w:rFonts w:ascii="Times New Roman" w:hAnsi="Times New Roman" w:cs="Times New Roman"/>
        </w:rPr>
        <w:t xml:space="preserve">vidutinis </w:t>
      </w:r>
      <w:r w:rsidR="00A119DF" w:rsidRPr="00411D72">
        <w:rPr>
          <w:rFonts w:ascii="Times New Roman" w:hAnsi="Times New Roman" w:cs="Times New Roman"/>
        </w:rPr>
        <w:t>metini</w:t>
      </w:r>
      <w:r w:rsidR="004067C3" w:rsidRPr="00411D72">
        <w:rPr>
          <w:rFonts w:ascii="Times New Roman" w:hAnsi="Times New Roman" w:cs="Times New Roman"/>
        </w:rPr>
        <w:t>s</w:t>
      </w:r>
      <w:r w:rsidR="00A119DF" w:rsidRPr="00411D72">
        <w:rPr>
          <w:rFonts w:ascii="Times New Roman" w:hAnsi="Times New Roman" w:cs="Times New Roman"/>
        </w:rPr>
        <w:t xml:space="preserve"> </w:t>
      </w:r>
      <w:r w:rsidR="004067C3" w:rsidRPr="00411D72">
        <w:rPr>
          <w:rFonts w:ascii="Times New Roman" w:hAnsi="Times New Roman" w:cs="Times New Roman"/>
        </w:rPr>
        <w:t>prie</w:t>
      </w:r>
      <w:r w:rsidR="00A119DF" w:rsidRPr="00411D72">
        <w:rPr>
          <w:rFonts w:ascii="Times New Roman" w:hAnsi="Times New Roman" w:cs="Times New Roman"/>
        </w:rPr>
        <w:t>augi</w:t>
      </w:r>
      <w:r w:rsidR="004067C3" w:rsidRPr="00411D72">
        <w:rPr>
          <w:rFonts w:ascii="Times New Roman" w:hAnsi="Times New Roman" w:cs="Times New Roman"/>
        </w:rPr>
        <w:t xml:space="preserve">s siekė 15 </w:t>
      </w:r>
      <w:r w:rsidR="002B7345" w:rsidRPr="00411D72">
        <w:rPr>
          <w:rFonts w:ascii="Times New Roman" w:hAnsi="Times New Roman" w:cs="Times New Roman"/>
        </w:rPr>
        <w:t xml:space="preserve">proc., </w:t>
      </w:r>
      <w:r w:rsidR="002F05D8" w:rsidRPr="00411D72">
        <w:rPr>
          <w:rFonts w:ascii="Times New Roman" w:hAnsi="Times New Roman" w:cs="Times New Roman"/>
        </w:rPr>
        <w:t>tam tikros korekcijos žemyn buvo tikimasi</w:t>
      </w:r>
      <w:r w:rsidR="00A842F8" w:rsidRPr="00411D72">
        <w:rPr>
          <w:rFonts w:ascii="Times New Roman" w:hAnsi="Times New Roman" w:cs="Times New Roman"/>
        </w:rPr>
        <w:t xml:space="preserve"> dar prieš Jungtinių Valstijų įvestus muitus </w:t>
      </w:r>
      <w:r w:rsidR="00D97165" w:rsidRPr="00411D72">
        <w:rPr>
          <w:rFonts w:ascii="Times New Roman" w:hAnsi="Times New Roman" w:cs="Times New Roman"/>
        </w:rPr>
        <w:t>bei</w:t>
      </w:r>
      <w:r w:rsidR="00A842F8" w:rsidRPr="00411D72">
        <w:rPr>
          <w:rFonts w:ascii="Times New Roman" w:hAnsi="Times New Roman" w:cs="Times New Roman"/>
        </w:rPr>
        <w:t xml:space="preserve"> kit</w:t>
      </w:r>
      <w:r w:rsidR="00D97165" w:rsidRPr="00411D72">
        <w:rPr>
          <w:rFonts w:ascii="Times New Roman" w:hAnsi="Times New Roman" w:cs="Times New Roman"/>
        </w:rPr>
        <w:t>us</w:t>
      </w:r>
      <w:r w:rsidR="00A842F8" w:rsidRPr="00411D72">
        <w:rPr>
          <w:rFonts w:ascii="Times New Roman" w:hAnsi="Times New Roman" w:cs="Times New Roman"/>
        </w:rPr>
        <w:t xml:space="preserve"> </w:t>
      </w:r>
      <w:r w:rsidR="00D97165" w:rsidRPr="00411D72">
        <w:rPr>
          <w:rFonts w:ascii="Times New Roman" w:hAnsi="Times New Roman" w:cs="Times New Roman"/>
        </w:rPr>
        <w:t>ekonominius sprendimus</w:t>
      </w:r>
      <w:r w:rsidR="00A842F8" w:rsidRPr="00411D72">
        <w:rPr>
          <w:rFonts w:ascii="Times New Roman" w:hAnsi="Times New Roman" w:cs="Times New Roman"/>
        </w:rPr>
        <w:t>, nusmukdžiusi</w:t>
      </w:r>
      <w:r w:rsidR="00D97165" w:rsidRPr="00411D72">
        <w:rPr>
          <w:rFonts w:ascii="Times New Roman" w:hAnsi="Times New Roman" w:cs="Times New Roman"/>
        </w:rPr>
        <w:t>u</w:t>
      </w:r>
      <w:r w:rsidR="00A842F8" w:rsidRPr="00411D72">
        <w:rPr>
          <w:rFonts w:ascii="Times New Roman" w:hAnsi="Times New Roman" w:cs="Times New Roman"/>
        </w:rPr>
        <w:t xml:space="preserve">s </w:t>
      </w:r>
      <w:r w:rsidR="00FC1108" w:rsidRPr="00411D72">
        <w:rPr>
          <w:rFonts w:ascii="Times New Roman" w:hAnsi="Times New Roman" w:cs="Times New Roman"/>
        </w:rPr>
        <w:t xml:space="preserve">akcijų biržų </w:t>
      </w:r>
      <w:r w:rsidR="009B78AC" w:rsidRPr="00411D72">
        <w:rPr>
          <w:rFonts w:ascii="Times New Roman" w:hAnsi="Times New Roman" w:cs="Times New Roman"/>
        </w:rPr>
        <w:t xml:space="preserve">rezultatus </w:t>
      </w:r>
      <w:r w:rsidR="00FC1108" w:rsidRPr="00411D72">
        <w:rPr>
          <w:rFonts w:ascii="Times New Roman" w:hAnsi="Times New Roman" w:cs="Times New Roman"/>
        </w:rPr>
        <w:t xml:space="preserve">visame pasaulyje. Vis tik reikia prisiminti, kad kaupimas pensijų fonduose yra maratonas, o ne sprintas. </w:t>
      </w:r>
      <w:r w:rsidR="009B78AC" w:rsidRPr="00411D72">
        <w:rPr>
          <w:rFonts w:ascii="Times New Roman" w:hAnsi="Times New Roman" w:cs="Times New Roman"/>
        </w:rPr>
        <w:t xml:space="preserve">O skaičiuojant bendrą rezultatą nuo </w:t>
      </w:r>
      <w:r w:rsidR="005E12C5" w:rsidRPr="005E12C5">
        <w:rPr>
          <w:rFonts w:ascii="Times New Roman" w:hAnsi="Times New Roman" w:cs="Times New Roman"/>
        </w:rPr>
        <w:t xml:space="preserve">gyvenimo ciklo </w:t>
      </w:r>
      <w:r w:rsidR="009B78AC" w:rsidRPr="00411D72">
        <w:rPr>
          <w:rFonts w:ascii="Times New Roman" w:hAnsi="Times New Roman" w:cs="Times New Roman"/>
        </w:rPr>
        <w:t xml:space="preserve">fondų </w:t>
      </w:r>
      <w:r w:rsidR="00D9591A" w:rsidRPr="005E12C5">
        <w:rPr>
          <w:rFonts w:ascii="Times New Roman" w:hAnsi="Times New Roman" w:cs="Times New Roman"/>
        </w:rPr>
        <w:t>(GCF)</w:t>
      </w:r>
      <w:r w:rsidR="00D9591A">
        <w:rPr>
          <w:rFonts w:ascii="Times New Roman" w:hAnsi="Times New Roman" w:cs="Times New Roman"/>
        </w:rPr>
        <w:t xml:space="preserve"> </w:t>
      </w:r>
      <w:r w:rsidR="009B78AC" w:rsidRPr="00411D72">
        <w:rPr>
          <w:rFonts w:ascii="Times New Roman" w:hAnsi="Times New Roman" w:cs="Times New Roman"/>
        </w:rPr>
        <w:t xml:space="preserve">veiklos pradžios, investicinis prieaugis </w:t>
      </w:r>
      <w:r w:rsidR="00C60452" w:rsidRPr="00411D72">
        <w:rPr>
          <w:rFonts w:ascii="Times New Roman" w:hAnsi="Times New Roman" w:cs="Times New Roman"/>
        </w:rPr>
        <w:t xml:space="preserve">yra vienareikšmiškai teigiamas ir </w:t>
      </w:r>
      <w:r w:rsidR="00D97165" w:rsidRPr="00411D72">
        <w:rPr>
          <w:rFonts w:ascii="Times New Roman" w:hAnsi="Times New Roman" w:cs="Times New Roman"/>
        </w:rPr>
        <w:t xml:space="preserve">viršija </w:t>
      </w:r>
      <w:r w:rsidR="009B78AC" w:rsidRPr="00411D72">
        <w:rPr>
          <w:rFonts w:ascii="Times New Roman" w:hAnsi="Times New Roman" w:cs="Times New Roman"/>
        </w:rPr>
        <w:t xml:space="preserve">70 proc.“, – pabrėžia T. Gudaitis. </w:t>
      </w:r>
    </w:p>
    <w:p w14:paraId="5CEE57F0" w14:textId="71E856A6" w:rsidR="002C0B9D" w:rsidRPr="00843789" w:rsidRDefault="000620B7" w:rsidP="00411D72">
      <w:pPr>
        <w:jc w:val="both"/>
        <w:rPr>
          <w:rFonts w:ascii="Times New Roman" w:hAnsi="Times New Roman" w:cs="Times New Roman"/>
        </w:rPr>
      </w:pPr>
      <w:r w:rsidRPr="00411D72">
        <w:rPr>
          <w:rFonts w:ascii="Times New Roman" w:hAnsi="Times New Roman" w:cs="Times New Roman"/>
        </w:rPr>
        <w:t xml:space="preserve">Praėjusių metų pabaigoje perkopęs </w:t>
      </w:r>
      <w:r w:rsidR="00357349" w:rsidRPr="00411D72">
        <w:rPr>
          <w:rFonts w:ascii="Times New Roman" w:hAnsi="Times New Roman" w:cs="Times New Roman"/>
        </w:rPr>
        <w:t>9 mlrd. eurų rib</w:t>
      </w:r>
      <w:r w:rsidR="008A183C" w:rsidRPr="00411D72">
        <w:rPr>
          <w:rFonts w:ascii="Times New Roman" w:hAnsi="Times New Roman" w:cs="Times New Roman"/>
        </w:rPr>
        <w:t>ą,</w:t>
      </w:r>
      <w:r w:rsidR="00A67BA6" w:rsidRPr="00411D72">
        <w:rPr>
          <w:rFonts w:ascii="Times New Roman" w:hAnsi="Times New Roman" w:cs="Times New Roman"/>
        </w:rPr>
        <w:t xml:space="preserve"> </w:t>
      </w:r>
      <w:r w:rsidR="00C67984" w:rsidRPr="00411D72">
        <w:rPr>
          <w:rFonts w:ascii="Times New Roman" w:hAnsi="Times New Roman" w:cs="Times New Roman"/>
        </w:rPr>
        <w:t xml:space="preserve">Lietuvos </w:t>
      </w:r>
      <w:r w:rsidR="008A183C" w:rsidRPr="00411D72">
        <w:rPr>
          <w:rFonts w:ascii="Times New Roman" w:hAnsi="Times New Roman" w:cs="Times New Roman"/>
        </w:rPr>
        <w:t xml:space="preserve">pensijų fonduose sukauptas turtas šiek tiek sumažėjo, tačiau </w:t>
      </w:r>
      <w:r w:rsidR="00C67984" w:rsidRPr="00411D72">
        <w:rPr>
          <w:rFonts w:ascii="Times New Roman" w:hAnsi="Times New Roman" w:cs="Times New Roman"/>
        </w:rPr>
        <w:t>neabejo</w:t>
      </w:r>
      <w:r w:rsidR="008A183C" w:rsidRPr="00411D72">
        <w:rPr>
          <w:rFonts w:ascii="Times New Roman" w:hAnsi="Times New Roman" w:cs="Times New Roman"/>
        </w:rPr>
        <w:t>tina, kad</w:t>
      </w:r>
      <w:r w:rsidR="00C17653" w:rsidRPr="00411D72">
        <w:rPr>
          <w:rFonts w:ascii="Times New Roman" w:hAnsi="Times New Roman" w:cs="Times New Roman"/>
        </w:rPr>
        <w:t xml:space="preserve">, finansų rinkoms </w:t>
      </w:r>
      <w:proofErr w:type="spellStart"/>
      <w:r w:rsidR="00C17653" w:rsidRPr="00411D72">
        <w:rPr>
          <w:rFonts w:ascii="Times New Roman" w:hAnsi="Times New Roman" w:cs="Times New Roman"/>
        </w:rPr>
        <w:t>stabilizavusis</w:t>
      </w:r>
      <w:proofErr w:type="spellEnd"/>
      <w:r w:rsidR="00C17653" w:rsidRPr="00411D72">
        <w:rPr>
          <w:rFonts w:ascii="Times New Roman" w:hAnsi="Times New Roman" w:cs="Times New Roman"/>
        </w:rPr>
        <w:t xml:space="preserve">, vėl </w:t>
      </w:r>
      <w:r w:rsidR="007C39C2" w:rsidRPr="00411D72">
        <w:rPr>
          <w:rFonts w:ascii="Times New Roman" w:hAnsi="Times New Roman" w:cs="Times New Roman"/>
        </w:rPr>
        <w:t xml:space="preserve">ims augti. </w:t>
      </w:r>
      <w:r w:rsidR="00645265" w:rsidRPr="00411D72">
        <w:rPr>
          <w:rFonts w:ascii="Times New Roman" w:hAnsi="Times New Roman" w:cs="Times New Roman"/>
        </w:rPr>
        <w:t>Bendra r</w:t>
      </w:r>
      <w:r w:rsidR="002C0B9D" w:rsidRPr="00411D72">
        <w:rPr>
          <w:rFonts w:ascii="Times New Roman" w:hAnsi="Times New Roman" w:cs="Times New Roman"/>
        </w:rPr>
        <w:t xml:space="preserve">eguliaraus ilgalaikio pensijų kaupimo </w:t>
      </w:r>
      <w:r w:rsidR="00645265" w:rsidRPr="00411D72">
        <w:rPr>
          <w:rFonts w:ascii="Times New Roman" w:hAnsi="Times New Roman" w:cs="Times New Roman"/>
        </w:rPr>
        <w:t xml:space="preserve">Lietuvos gyventojams </w:t>
      </w:r>
      <w:r w:rsidR="002C0B9D" w:rsidRPr="00411D72">
        <w:rPr>
          <w:rFonts w:ascii="Times New Roman" w:hAnsi="Times New Roman" w:cs="Times New Roman"/>
        </w:rPr>
        <w:t>sukurta nauda (</w:t>
      </w:r>
      <w:r w:rsidR="00DA09D1" w:rsidRPr="00411D72">
        <w:rPr>
          <w:rFonts w:ascii="Times New Roman" w:hAnsi="Times New Roman" w:cs="Times New Roman"/>
        </w:rPr>
        <w:t xml:space="preserve">nuo 2004 m. </w:t>
      </w:r>
      <w:r w:rsidR="002C0B9D" w:rsidRPr="00411D72">
        <w:rPr>
          <w:rFonts w:ascii="Times New Roman" w:hAnsi="Times New Roman" w:cs="Times New Roman"/>
        </w:rPr>
        <w:t xml:space="preserve">agreguotas pelnas, arba investicijų grąža </w:t>
      </w:r>
      <w:r w:rsidR="002C0B9D" w:rsidRPr="00843789">
        <w:rPr>
          <w:rFonts w:ascii="Times New Roman" w:hAnsi="Times New Roman" w:cs="Times New Roman"/>
        </w:rPr>
        <w:t xml:space="preserve">plius išmokos) </w:t>
      </w:r>
      <w:r w:rsidR="007C39C2" w:rsidRPr="00843789">
        <w:rPr>
          <w:rFonts w:ascii="Times New Roman" w:hAnsi="Times New Roman" w:cs="Times New Roman"/>
        </w:rPr>
        <w:t xml:space="preserve">kovo </w:t>
      </w:r>
      <w:r w:rsidR="002C0B9D" w:rsidRPr="00843789">
        <w:rPr>
          <w:rFonts w:ascii="Times New Roman" w:hAnsi="Times New Roman" w:cs="Times New Roman"/>
        </w:rPr>
        <w:t xml:space="preserve">pabaigoje </w:t>
      </w:r>
      <w:r w:rsidR="00E00438" w:rsidRPr="00843789">
        <w:rPr>
          <w:rFonts w:ascii="Times New Roman" w:hAnsi="Times New Roman" w:cs="Times New Roman"/>
        </w:rPr>
        <w:t xml:space="preserve">viršijo 3 mlrd. eurų. </w:t>
      </w:r>
      <w:r w:rsidR="004D5CF2" w:rsidRPr="00843789">
        <w:rPr>
          <w:rFonts w:ascii="Times New Roman" w:hAnsi="Times New Roman" w:cs="Times New Roman"/>
        </w:rPr>
        <w:t xml:space="preserve">Per tą patį laikotarpį </w:t>
      </w:r>
      <w:r w:rsidR="00270EA6" w:rsidRPr="00843789">
        <w:rPr>
          <w:rFonts w:ascii="Times New Roman" w:hAnsi="Times New Roman" w:cs="Times New Roman"/>
        </w:rPr>
        <w:t xml:space="preserve">sukaupta </w:t>
      </w:r>
      <w:r w:rsidR="004D5CF2" w:rsidRPr="00843789">
        <w:rPr>
          <w:rFonts w:ascii="Times New Roman" w:hAnsi="Times New Roman" w:cs="Times New Roman"/>
        </w:rPr>
        <w:t>bendra</w:t>
      </w:r>
      <w:r w:rsidR="00270EA6" w:rsidRPr="00843789">
        <w:rPr>
          <w:rFonts w:ascii="Times New Roman" w:hAnsi="Times New Roman" w:cs="Times New Roman"/>
        </w:rPr>
        <w:t xml:space="preserve"> įmokų ir agreguoto pelno suma </w:t>
      </w:r>
      <w:r w:rsidR="00003085" w:rsidRPr="00843789">
        <w:rPr>
          <w:rFonts w:ascii="Times New Roman" w:hAnsi="Times New Roman" w:cs="Times New Roman"/>
        </w:rPr>
        <w:t xml:space="preserve">siekia beveik 9,53 mlrd. eurų. </w:t>
      </w:r>
    </w:p>
    <w:p w14:paraId="76751F99" w14:textId="53AFD94C" w:rsidR="00DE4C61" w:rsidRPr="00411D72" w:rsidRDefault="00FC525D" w:rsidP="00AE1F2F">
      <w:pPr>
        <w:jc w:val="both"/>
        <w:rPr>
          <w:rFonts w:ascii="Times New Roman" w:hAnsi="Times New Roman" w:cs="Times New Roman"/>
        </w:rPr>
      </w:pPr>
      <w:r w:rsidRPr="00843789">
        <w:rPr>
          <w:rFonts w:ascii="Times New Roman" w:hAnsi="Times New Roman" w:cs="Times New Roman"/>
        </w:rPr>
        <w:t xml:space="preserve">Bendrai </w:t>
      </w:r>
      <w:r w:rsidR="00D626A5" w:rsidRPr="00843789">
        <w:rPr>
          <w:rFonts w:ascii="Times New Roman" w:hAnsi="Times New Roman" w:cs="Times New Roman"/>
        </w:rPr>
        <w:t xml:space="preserve">pirmąjį šių metų ketvirtį </w:t>
      </w:r>
      <w:r w:rsidR="00831BE6" w:rsidRPr="00843789">
        <w:rPr>
          <w:rFonts w:ascii="Times New Roman" w:hAnsi="Times New Roman" w:cs="Times New Roman"/>
        </w:rPr>
        <w:t>į pensijų fondus buvo pervesta 208,6 mln. eurų įmokų</w:t>
      </w:r>
      <w:r w:rsidR="005B1D5D" w:rsidRPr="00843789">
        <w:rPr>
          <w:rFonts w:ascii="Times New Roman" w:hAnsi="Times New Roman" w:cs="Times New Roman"/>
        </w:rPr>
        <w:t>,</w:t>
      </w:r>
      <w:r w:rsidR="00831BE6" w:rsidRPr="00843789">
        <w:rPr>
          <w:rFonts w:ascii="Times New Roman" w:hAnsi="Times New Roman" w:cs="Times New Roman"/>
        </w:rPr>
        <w:t xml:space="preserve"> o </w:t>
      </w:r>
      <w:r w:rsidR="00D626A5" w:rsidRPr="00843789">
        <w:rPr>
          <w:rFonts w:ascii="Times New Roman" w:hAnsi="Times New Roman" w:cs="Times New Roman"/>
        </w:rPr>
        <w:t xml:space="preserve">išmokos pensijų sistemos dalyviams ir paveldėjimai sudarė </w:t>
      </w:r>
      <w:r w:rsidR="00F9390B" w:rsidRPr="00843789">
        <w:rPr>
          <w:rFonts w:ascii="Times New Roman" w:hAnsi="Times New Roman" w:cs="Times New Roman"/>
        </w:rPr>
        <w:t xml:space="preserve">35,7 mln. </w:t>
      </w:r>
      <w:r w:rsidR="00F9390B" w:rsidRPr="00D32158">
        <w:rPr>
          <w:rFonts w:ascii="Times New Roman" w:hAnsi="Times New Roman" w:cs="Times New Roman"/>
        </w:rPr>
        <w:t>eurų</w:t>
      </w:r>
      <w:r w:rsidR="00831BE6" w:rsidRPr="00D32158">
        <w:rPr>
          <w:rFonts w:ascii="Times New Roman" w:hAnsi="Times New Roman" w:cs="Times New Roman"/>
        </w:rPr>
        <w:t xml:space="preserve">. </w:t>
      </w:r>
      <w:r w:rsidR="00DB2C9C" w:rsidRPr="00D32158">
        <w:rPr>
          <w:rFonts w:ascii="Times New Roman" w:hAnsi="Times New Roman" w:cs="Times New Roman"/>
        </w:rPr>
        <w:t>N</w:t>
      </w:r>
      <w:r w:rsidR="008D3260" w:rsidRPr="00D32158">
        <w:rPr>
          <w:rFonts w:ascii="Times New Roman" w:hAnsi="Times New Roman" w:cs="Times New Roman"/>
        </w:rPr>
        <w:t>ors n</w:t>
      </w:r>
      <w:r w:rsidR="00DB2C9C" w:rsidRPr="00D32158">
        <w:rPr>
          <w:rFonts w:ascii="Times New Roman" w:hAnsi="Times New Roman" w:cs="Times New Roman"/>
        </w:rPr>
        <w:t xml:space="preserve">uo šių metų pradžios </w:t>
      </w:r>
      <w:r w:rsidR="00980245" w:rsidRPr="00D32158">
        <w:rPr>
          <w:rFonts w:ascii="Times New Roman" w:hAnsi="Times New Roman" w:cs="Times New Roman"/>
        </w:rPr>
        <w:t xml:space="preserve">II pakopos </w:t>
      </w:r>
      <w:r w:rsidRPr="00D32158">
        <w:rPr>
          <w:rFonts w:ascii="Times New Roman" w:hAnsi="Times New Roman" w:cs="Times New Roman"/>
        </w:rPr>
        <w:t xml:space="preserve">pensijų fonduose sukaupto turto </w:t>
      </w:r>
      <w:r w:rsidR="008F54AA" w:rsidRPr="00D32158">
        <w:rPr>
          <w:rFonts w:ascii="Times New Roman" w:hAnsi="Times New Roman" w:cs="Times New Roman"/>
        </w:rPr>
        <w:t xml:space="preserve">investicinis pelnas </w:t>
      </w:r>
      <w:r w:rsidR="007D7344" w:rsidRPr="00D32158">
        <w:rPr>
          <w:rFonts w:ascii="Times New Roman" w:hAnsi="Times New Roman" w:cs="Times New Roman"/>
        </w:rPr>
        <w:t>yra</w:t>
      </w:r>
      <w:r w:rsidR="008F54AA" w:rsidRPr="00D32158">
        <w:rPr>
          <w:rFonts w:ascii="Times New Roman" w:hAnsi="Times New Roman" w:cs="Times New Roman"/>
        </w:rPr>
        <w:t xml:space="preserve"> neigiamas</w:t>
      </w:r>
      <w:r w:rsidR="00F2426B" w:rsidRPr="00D32158">
        <w:rPr>
          <w:rFonts w:ascii="Times New Roman" w:hAnsi="Times New Roman" w:cs="Times New Roman"/>
        </w:rPr>
        <w:t xml:space="preserve"> ir sudar</w:t>
      </w:r>
      <w:r w:rsidR="007D7344" w:rsidRPr="00D32158">
        <w:rPr>
          <w:rFonts w:ascii="Times New Roman" w:hAnsi="Times New Roman" w:cs="Times New Roman"/>
        </w:rPr>
        <w:t>o</w:t>
      </w:r>
      <w:r w:rsidR="00F2426B" w:rsidRPr="00D32158">
        <w:rPr>
          <w:rFonts w:ascii="Times New Roman" w:hAnsi="Times New Roman" w:cs="Times New Roman"/>
        </w:rPr>
        <w:t xml:space="preserve"> -4,4 proc.</w:t>
      </w:r>
      <w:r w:rsidR="008D3260" w:rsidRPr="00D32158">
        <w:rPr>
          <w:rFonts w:ascii="Times New Roman" w:hAnsi="Times New Roman" w:cs="Times New Roman"/>
        </w:rPr>
        <w:t>,</w:t>
      </w:r>
      <w:r w:rsidR="00F2426B" w:rsidRPr="00D32158">
        <w:rPr>
          <w:rFonts w:ascii="Times New Roman" w:hAnsi="Times New Roman" w:cs="Times New Roman"/>
        </w:rPr>
        <w:t xml:space="preserve"> </w:t>
      </w:r>
      <w:r w:rsidR="00D572F6" w:rsidRPr="00D32158">
        <w:rPr>
          <w:rFonts w:ascii="Times New Roman" w:hAnsi="Times New Roman" w:cs="Times New Roman"/>
        </w:rPr>
        <w:t>ilgalaikio, nuo veiklos pradžios</w:t>
      </w:r>
      <w:r w:rsidR="00FF3B9C" w:rsidRPr="00D32158">
        <w:rPr>
          <w:rFonts w:ascii="Times New Roman" w:hAnsi="Times New Roman" w:cs="Times New Roman"/>
        </w:rPr>
        <w:t xml:space="preserve"> skaičiuojamo</w:t>
      </w:r>
      <w:r w:rsidR="00D572F6" w:rsidRPr="00D32158">
        <w:rPr>
          <w:rFonts w:ascii="Times New Roman" w:hAnsi="Times New Roman" w:cs="Times New Roman"/>
        </w:rPr>
        <w:t xml:space="preserve">, </w:t>
      </w:r>
      <w:r w:rsidR="00D9591A" w:rsidRPr="00D32158">
        <w:rPr>
          <w:rFonts w:ascii="Times New Roman" w:hAnsi="Times New Roman" w:cs="Times New Roman"/>
        </w:rPr>
        <w:t>GCF rezultat</w:t>
      </w:r>
      <w:r w:rsidR="004848CE" w:rsidRPr="00D32158">
        <w:rPr>
          <w:rFonts w:ascii="Times New Roman" w:hAnsi="Times New Roman" w:cs="Times New Roman"/>
        </w:rPr>
        <w:t>o</w:t>
      </w:r>
      <w:r w:rsidR="00D9591A" w:rsidRPr="00D32158">
        <w:rPr>
          <w:rFonts w:ascii="Times New Roman" w:hAnsi="Times New Roman" w:cs="Times New Roman"/>
        </w:rPr>
        <w:t xml:space="preserve"> </w:t>
      </w:r>
      <w:r w:rsidR="004848CE" w:rsidRPr="00D32158">
        <w:rPr>
          <w:rFonts w:ascii="Times New Roman" w:hAnsi="Times New Roman" w:cs="Times New Roman"/>
        </w:rPr>
        <w:t xml:space="preserve">tai praktiškai nepaveikė – </w:t>
      </w:r>
      <w:r w:rsidR="00D13403" w:rsidRPr="00D32158">
        <w:rPr>
          <w:rFonts w:ascii="Times New Roman" w:hAnsi="Times New Roman" w:cs="Times New Roman"/>
        </w:rPr>
        <w:t xml:space="preserve">jų </w:t>
      </w:r>
      <w:r w:rsidR="00891C78" w:rsidRPr="00D32158">
        <w:rPr>
          <w:rFonts w:ascii="Times New Roman" w:hAnsi="Times New Roman" w:cs="Times New Roman"/>
        </w:rPr>
        <w:t>p</w:t>
      </w:r>
      <w:r w:rsidR="00D13403" w:rsidRPr="00D32158">
        <w:rPr>
          <w:rFonts w:ascii="Times New Roman" w:hAnsi="Times New Roman" w:cs="Times New Roman"/>
        </w:rPr>
        <w:t xml:space="preserve">elningumas </w:t>
      </w:r>
      <w:r w:rsidR="00940067" w:rsidRPr="00D32158">
        <w:rPr>
          <w:rFonts w:ascii="Times New Roman" w:hAnsi="Times New Roman" w:cs="Times New Roman"/>
        </w:rPr>
        <w:t xml:space="preserve">vis dar išlieka </w:t>
      </w:r>
      <w:r w:rsidR="00AB0DE3" w:rsidRPr="00D32158">
        <w:rPr>
          <w:rFonts w:ascii="Times New Roman" w:hAnsi="Times New Roman" w:cs="Times New Roman"/>
        </w:rPr>
        <w:t>d</w:t>
      </w:r>
      <w:r w:rsidR="005E1B6A" w:rsidRPr="00D32158">
        <w:rPr>
          <w:rFonts w:ascii="Times New Roman" w:hAnsi="Times New Roman" w:cs="Times New Roman"/>
        </w:rPr>
        <w:t xml:space="preserve">idesnis </w:t>
      </w:r>
      <w:r w:rsidR="00AB0DE3" w:rsidRPr="00D32158">
        <w:rPr>
          <w:rFonts w:ascii="Times New Roman" w:hAnsi="Times New Roman" w:cs="Times New Roman"/>
        </w:rPr>
        <w:t xml:space="preserve">nei </w:t>
      </w:r>
      <w:r w:rsidR="00940067" w:rsidRPr="00D32158">
        <w:rPr>
          <w:rFonts w:ascii="Times New Roman" w:hAnsi="Times New Roman" w:cs="Times New Roman"/>
        </w:rPr>
        <w:t>70 proc.</w:t>
      </w:r>
      <w:r w:rsidR="00891C78">
        <w:rPr>
          <w:rFonts w:ascii="Times New Roman" w:hAnsi="Times New Roman" w:cs="Times New Roman"/>
        </w:rPr>
        <w:t xml:space="preserve"> P</w:t>
      </w:r>
      <w:r w:rsidR="005917B4" w:rsidRPr="00843789">
        <w:rPr>
          <w:rFonts w:ascii="Times New Roman" w:hAnsi="Times New Roman" w:cs="Times New Roman"/>
        </w:rPr>
        <w:t xml:space="preserve">irmąjį šių metų ketvirtį </w:t>
      </w:r>
      <w:r w:rsidR="00891C78" w:rsidRPr="00843789">
        <w:rPr>
          <w:rFonts w:ascii="Times New Roman" w:hAnsi="Times New Roman" w:cs="Times New Roman"/>
        </w:rPr>
        <w:t xml:space="preserve">4,4 proc. </w:t>
      </w:r>
      <w:r w:rsidR="000A59B2" w:rsidRPr="00843789">
        <w:rPr>
          <w:rFonts w:ascii="Times New Roman" w:hAnsi="Times New Roman" w:cs="Times New Roman"/>
        </w:rPr>
        <w:t xml:space="preserve">smuktelėjo ir </w:t>
      </w:r>
      <w:r w:rsidR="00980245" w:rsidRPr="00843789">
        <w:rPr>
          <w:rFonts w:ascii="Times New Roman" w:hAnsi="Times New Roman" w:cs="Times New Roman"/>
        </w:rPr>
        <w:t>III</w:t>
      </w:r>
      <w:r w:rsidR="00A24C14" w:rsidRPr="00843789">
        <w:rPr>
          <w:rFonts w:ascii="Times New Roman" w:hAnsi="Times New Roman" w:cs="Times New Roman"/>
        </w:rPr>
        <w:t xml:space="preserve"> pensijų pakopos fondų fiksuotas bendras svertinis vidurkis</w:t>
      </w:r>
      <w:r w:rsidR="000A59B2" w:rsidRPr="00843789">
        <w:rPr>
          <w:rFonts w:ascii="Times New Roman" w:hAnsi="Times New Roman" w:cs="Times New Roman"/>
        </w:rPr>
        <w:t>.</w:t>
      </w:r>
      <w:r w:rsidR="00A24C14" w:rsidRPr="00843789">
        <w:rPr>
          <w:rFonts w:ascii="Times New Roman" w:hAnsi="Times New Roman" w:cs="Times New Roman"/>
        </w:rPr>
        <w:t xml:space="preserve"> </w:t>
      </w:r>
      <w:r w:rsidR="00BF2BDF" w:rsidRPr="00843789">
        <w:rPr>
          <w:rFonts w:ascii="Times New Roman" w:hAnsi="Times New Roman" w:cs="Times New Roman"/>
        </w:rPr>
        <w:t xml:space="preserve">Bendrai </w:t>
      </w:r>
      <w:r w:rsidR="004A1FED" w:rsidRPr="00843789">
        <w:rPr>
          <w:rFonts w:ascii="Times New Roman" w:hAnsi="Times New Roman" w:cs="Times New Roman"/>
        </w:rPr>
        <w:t>III</w:t>
      </w:r>
      <w:r w:rsidR="00BF2BDF" w:rsidRPr="00843789">
        <w:rPr>
          <w:rFonts w:ascii="Times New Roman" w:hAnsi="Times New Roman" w:cs="Times New Roman"/>
        </w:rPr>
        <w:t xml:space="preserve"> </w:t>
      </w:r>
      <w:r w:rsidR="004A1FED" w:rsidRPr="00843789">
        <w:rPr>
          <w:rFonts w:ascii="Times New Roman" w:hAnsi="Times New Roman" w:cs="Times New Roman"/>
        </w:rPr>
        <w:t xml:space="preserve">pakopos fonduose </w:t>
      </w:r>
      <w:r w:rsidR="00BF2BDF" w:rsidRPr="00843789">
        <w:rPr>
          <w:rFonts w:ascii="Times New Roman" w:hAnsi="Times New Roman" w:cs="Times New Roman"/>
        </w:rPr>
        <w:t xml:space="preserve">sukaupto turto vertė kovo pabaigoje buvo </w:t>
      </w:r>
      <w:r w:rsidR="00AE1F2F" w:rsidRPr="00843789">
        <w:rPr>
          <w:rFonts w:ascii="Times New Roman" w:hAnsi="Times New Roman" w:cs="Times New Roman"/>
        </w:rPr>
        <w:t>407,5 mln. eurų.</w:t>
      </w:r>
      <w:r w:rsidR="00AE1F2F">
        <w:rPr>
          <w:rFonts w:ascii="Times New Roman" w:hAnsi="Times New Roman" w:cs="Times New Roman"/>
        </w:rPr>
        <w:t xml:space="preserve"> </w:t>
      </w:r>
    </w:p>
    <w:p w14:paraId="057C4A0C" w14:textId="7A4F1841" w:rsidR="000E05F7" w:rsidRPr="00411D72" w:rsidRDefault="00DA1564" w:rsidP="00411D72">
      <w:pPr>
        <w:jc w:val="both"/>
        <w:rPr>
          <w:rFonts w:ascii="Times New Roman" w:hAnsi="Times New Roman" w:cs="Times New Roman"/>
          <w:b/>
          <w:bCs/>
        </w:rPr>
      </w:pPr>
      <w:r w:rsidRPr="00411D72">
        <w:rPr>
          <w:rFonts w:ascii="Times New Roman" w:hAnsi="Times New Roman" w:cs="Times New Roman"/>
          <w:b/>
          <w:bCs/>
        </w:rPr>
        <w:t xml:space="preserve">Ilguoju laikotarpiu sėkmingiausi yra </w:t>
      </w:r>
      <w:r w:rsidR="00AD08B2" w:rsidRPr="00411D72">
        <w:rPr>
          <w:rFonts w:ascii="Times New Roman" w:hAnsi="Times New Roman" w:cs="Times New Roman"/>
          <w:b/>
          <w:bCs/>
        </w:rPr>
        <w:t xml:space="preserve">dabartinės 44-50 m. amžiaus grupės pensijų fondai </w:t>
      </w:r>
    </w:p>
    <w:p w14:paraId="05AABF90" w14:textId="70E22982" w:rsidR="00FB6752" w:rsidRPr="00411D72" w:rsidRDefault="002C0B9D" w:rsidP="00411D72">
      <w:pPr>
        <w:jc w:val="both"/>
        <w:rPr>
          <w:rFonts w:ascii="Times New Roman" w:hAnsi="Times New Roman" w:cs="Times New Roman"/>
        </w:rPr>
      </w:pPr>
      <w:r w:rsidRPr="00411D72">
        <w:rPr>
          <w:rFonts w:ascii="Times New Roman" w:hAnsi="Times New Roman" w:cs="Times New Roman"/>
        </w:rPr>
        <w:t xml:space="preserve">Gyvenimo ciklo fondų formatu valdomi Lietuvos II pakopos pensijų fondai </w:t>
      </w:r>
      <w:r w:rsidR="00FB6752" w:rsidRPr="00411D72">
        <w:rPr>
          <w:rFonts w:ascii="Times New Roman" w:hAnsi="Times New Roman" w:cs="Times New Roman"/>
        </w:rPr>
        <w:t xml:space="preserve">į pastarųjų mėnesių įvykius reagavo nevienodai. </w:t>
      </w:r>
      <w:r w:rsidR="00757391" w:rsidRPr="00411D72">
        <w:rPr>
          <w:rFonts w:ascii="Times New Roman" w:hAnsi="Times New Roman" w:cs="Times New Roman"/>
        </w:rPr>
        <w:t>Kovo pabaigoje d</w:t>
      </w:r>
      <w:r w:rsidR="00EC60B6" w:rsidRPr="00411D72">
        <w:rPr>
          <w:rFonts w:ascii="Times New Roman" w:hAnsi="Times New Roman" w:cs="Times New Roman"/>
        </w:rPr>
        <w:t xml:space="preserve">idžiausią kritimą, </w:t>
      </w:r>
      <w:r w:rsidR="00757391" w:rsidRPr="00411D72">
        <w:rPr>
          <w:rFonts w:ascii="Times New Roman" w:hAnsi="Times New Roman" w:cs="Times New Roman"/>
        </w:rPr>
        <w:t xml:space="preserve">lyginant su tuo pačiu laikotarpiu pernai, </w:t>
      </w:r>
      <w:r w:rsidR="00EC60B6" w:rsidRPr="00411D72">
        <w:rPr>
          <w:rFonts w:ascii="Times New Roman" w:hAnsi="Times New Roman" w:cs="Times New Roman"/>
        </w:rPr>
        <w:t xml:space="preserve">šiek tiek viršijusį 6 proc., fiksavo </w:t>
      </w:r>
      <w:r w:rsidR="008B697E" w:rsidRPr="00411D72">
        <w:rPr>
          <w:rFonts w:ascii="Times New Roman" w:hAnsi="Times New Roman" w:cs="Times New Roman"/>
        </w:rPr>
        <w:t>23-29 m. amžiaus grupė</w:t>
      </w:r>
      <w:r w:rsidR="009C51AE" w:rsidRPr="00411D72">
        <w:rPr>
          <w:rFonts w:ascii="Times New Roman" w:hAnsi="Times New Roman" w:cs="Times New Roman"/>
        </w:rPr>
        <w:t>s pensijų fondų svertinis vidurkis</w:t>
      </w:r>
      <w:r w:rsidR="008B697E" w:rsidRPr="00411D72">
        <w:rPr>
          <w:rFonts w:ascii="Times New Roman" w:hAnsi="Times New Roman" w:cs="Times New Roman"/>
        </w:rPr>
        <w:t xml:space="preserve">. </w:t>
      </w:r>
      <w:r w:rsidR="00D07A58" w:rsidRPr="00411D72">
        <w:rPr>
          <w:rFonts w:ascii="Times New Roman" w:hAnsi="Times New Roman" w:cs="Times New Roman"/>
        </w:rPr>
        <w:t xml:space="preserve">Mažiausiai, </w:t>
      </w:r>
      <w:r w:rsidR="007C7A8C" w:rsidRPr="00411D72">
        <w:rPr>
          <w:rFonts w:ascii="Times New Roman" w:hAnsi="Times New Roman" w:cs="Times New Roman"/>
        </w:rPr>
        <w:t xml:space="preserve">nepilnais </w:t>
      </w:r>
      <w:r w:rsidR="00D07A58" w:rsidRPr="00411D72">
        <w:rPr>
          <w:rFonts w:ascii="Times New Roman" w:hAnsi="Times New Roman" w:cs="Times New Roman"/>
        </w:rPr>
        <w:t>0,9</w:t>
      </w:r>
      <w:r w:rsidR="007C7A8C" w:rsidRPr="00411D72">
        <w:rPr>
          <w:rFonts w:ascii="Times New Roman" w:hAnsi="Times New Roman" w:cs="Times New Roman"/>
        </w:rPr>
        <w:t xml:space="preserve"> proc., per metus sumažėjo </w:t>
      </w:r>
      <w:r w:rsidR="007E648C" w:rsidRPr="00411D72">
        <w:rPr>
          <w:rFonts w:ascii="Times New Roman" w:hAnsi="Times New Roman" w:cs="Times New Roman"/>
        </w:rPr>
        <w:t>65-</w:t>
      </w:r>
      <w:r w:rsidR="00E11C52" w:rsidRPr="00411D72">
        <w:rPr>
          <w:rFonts w:ascii="Times New Roman" w:hAnsi="Times New Roman" w:cs="Times New Roman"/>
        </w:rPr>
        <w:t xml:space="preserve">71 m. amžiaus grupės fonduose sukauptas turtas. </w:t>
      </w:r>
    </w:p>
    <w:p w14:paraId="1A059EC7" w14:textId="22F68FE4" w:rsidR="00E11C52" w:rsidRDefault="002304C5" w:rsidP="00411D72">
      <w:pPr>
        <w:jc w:val="both"/>
        <w:rPr>
          <w:rFonts w:ascii="Times New Roman" w:hAnsi="Times New Roman" w:cs="Times New Roman"/>
        </w:rPr>
      </w:pPr>
      <w:r w:rsidRPr="00411D72">
        <w:rPr>
          <w:rFonts w:ascii="Times New Roman" w:hAnsi="Times New Roman" w:cs="Times New Roman"/>
        </w:rPr>
        <w:t xml:space="preserve">Tuo tarpu nuo veiklos pradžios didžiausią prieaugį kovo pabaigoje fiksavo </w:t>
      </w:r>
      <w:r w:rsidR="001567CE" w:rsidRPr="00411D72">
        <w:rPr>
          <w:rFonts w:ascii="Times New Roman" w:hAnsi="Times New Roman" w:cs="Times New Roman"/>
        </w:rPr>
        <w:t xml:space="preserve">44-50 m. amžiaus grupės </w:t>
      </w:r>
      <w:r w:rsidR="00416203" w:rsidRPr="00411D72">
        <w:rPr>
          <w:rFonts w:ascii="Times New Roman" w:hAnsi="Times New Roman" w:cs="Times New Roman"/>
        </w:rPr>
        <w:t xml:space="preserve">pensijų fondai. Bendras jų svertinio vidurkio prieaugis </w:t>
      </w:r>
      <w:r w:rsidR="00A21FD5" w:rsidRPr="00411D72">
        <w:rPr>
          <w:rFonts w:ascii="Times New Roman" w:hAnsi="Times New Roman" w:cs="Times New Roman"/>
        </w:rPr>
        <w:t xml:space="preserve">šiuo metu </w:t>
      </w:r>
      <w:r w:rsidR="00416203" w:rsidRPr="00411D72">
        <w:rPr>
          <w:rFonts w:ascii="Times New Roman" w:hAnsi="Times New Roman" w:cs="Times New Roman"/>
        </w:rPr>
        <w:t xml:space="preserve">siekia </w:t>
      </w:r>
      <w:r w:rsidR="00A21FD5" w:rsidRPr="00411D72">
        <w:rPr>
          <w:rFonts w:ascii="Times New Roman" w:hAnsi="Times New Roman" w:cs="Times New Roman"/>
        </w:rPr>
        <w:t xml:space="preserve">82,6 proc. </w:t>
      </w:r>
      <w:r w:rsidR="004E5FBC" w:rsidRPr="00411D72">
        <w:rPr>
          <w:rFonts w:ascii="Times New Roman" w:hAnsi="Times New Roman" w:cs="Times New Roman"/>
        </w:rPr>
        <w:t xml:space="preserve">Nedaug atsilieka ir 37-43 m. </w:t>
      </w:r>
      <w:r w:rsidR="000B5344" w:rsidRPr="00411D72">
        <w:rPr>
          <w:rFonts w:ascii="Times New Roman" w:hAnsi="Times New Roman" w:cs="Times New Roman"/>
        </w:rPr>
        <w:t xml:space="preserve">(+81,35 proc.) bei </w:t>
      </w:r>
      <w:r w:rsidR="00944A0E" w:rsidRPr="00411D72">
        <w:rPr>
          <w:rFonts w:ascii="Times New Roman" w:hAnsi="Times New Roman" w:cs="Times New Roman"/>
        </w:rPr>
        <w:t xml:space="preserve">30-36 m. (+79,9 proc.) </w:t>
      </w:r>
      <w:r w:rsidR="00A41ECD" w:rsidRPr="00411D72">
        <w:rPr>
          <w:rFonts w:ascii="Times New Roman" w:hAnsi="Times New Roman" w:cs="Times New Roman"/>
        </w:rPr>
        <w:t>amžiaus grup</w:t>
      </w:r>
      <w:r w:rsidR="00944A0E" w:rsidRPr="00411D72">
        <w:rPr>
          <w:rFonts w:ascii="Times New Roman" w:hAnsi="Times New Roman" w:cs="Times New Roman"/>
        </w:rPr>
        <w:t>ių</w:t>
      </w:r>
      <w:r w:rsidR="00A41ECD" w:rsidRPr="00411D72">
        <w:rPr>
          <w:rFonts w:ascii="Times New Roman" w:hAnsi="Times New Roman" w:cs="Times New Roman"/>
        </w:rPr>
        <w:t xml:space="preserve"> </w:t>
      </w:r>
      <w:r w:rsidR="000B5344" w:rsidRPr="00411D72">
        <w:rPr>
          <w:rFonts w:ascii="Times New Roman" w:hAnsi="Times New Roman" w:cs="Times New Roman"/>
        </w:rPr>
        <w:t>pensijų fondų rezultatai</w:t>
      </w:r>
      <w:r w:rsidR="00944A0E" w:rsidRPr="00411D72">
        <w:rPr>
          <w:rFonts w:ascii="Times New Roman" w:hAnsi="Times New Roman" w:cs="Times New Roman"/>
        </w:rPr>
        <w:t xml:space="preserve">. </w:t>
      </w:r>
      <w:r w:rsidR="00FB6FB7" w:rsidRPr="00411D72">
        <w:rPr>
          <w:rFonts w:ascii="Times New Roman" w:hAnsi="Times New Roman" w:cs="Times New Roman"/>
        </w:rPr>
        <w:t xml:space="preserve">Konservatyviausio, </w:t>
      </w:r>
      <w:r w:rsidR="00E94AE9" w:rsidRPr="00411D72">
        <w:rPr>
          <w:rFonts w:ascii="Times New Roman" w:hAnsi="Times New Roman" w:cs="Times New Roman"/>
        </w:rPr>
        <w:t>Turto išsaugojimo fondo svertinio vidurkio rezultatas</w:t>
      </w:r>
      <w:r w:rsidR="003F4699" w:rsidRPr="00411D72">
        <w:rPr>
          <w:rFonts w:ascii="Times New Roman" w:hAnsi="Times New Roman" w:cs="Times New Roman"/>
        </w:rPr>
        <w:t xml:space="preserve"> kovo pabaigoje</w:t>
      </w:r>
      <w:r w:rsidR="00E94AE9" w:rsidRPr="00411D72">
        <w:rPr>
          <w:rFonts w:ascii="Times New Roman" w:hAnsi="Times New Roman" w:cs="Times New Roman"/>
        </w:rPr>
        <w:t xml:space="preserve">, lyginant </w:t>
      </w:r>
      <w:r w:rsidR="003F4699" w:rsidRPr="00411D72">
        <w:rPr>
          <w:rFonts w:ascii="Times New Roman" w:hAnsi="Times New Roman" w:cs="Times New Roman"/>
        </w:rPr>
        <w:t xml:space="preserve">su tuo pačiu laikotarpiu pernai, sumenko vidutiniškai 1,2 proc., o nuo veiklos pradžios </w:t>
      </w:r>
      <w:r w:rsidR="0040048C" w:rsidRPr="00411D72">
        <w:rPr>
          <w:rFonts w:ascii="Times New Roman" w:hAnsi="Times New Roman" w:cs="Times New Roman"/>
        </w:rPr>
        <w:t xml:space="preserve">fiksuoja 12,6 proc. augimą. </w:t>
      </w:r>
    </w:p>
    <w:p w14:paraId="432EF438" w14:textId="3A51EB28" w:rsidR="002C0B9D" w:rsidRPr="00411D72" w:rsidRDefault="0070709F" w:rsidP="00411D72">
      <w:pPr>
        <w:jc w:val="both"/>
        <w:rPr>
          <w:rFonts w:ascii="Times New Roman" w:hAnsi="Times New Roman" w:cs="Times New Roman"/>
        </w:rPr>
      </w:pPr>
      <w:r w:rsidRPr="00411D72">
        <w:rPr>
          <w:rFonts w:ascii="Times New Roman" w:hAnsi="Times New Roman" w:cs="Times New Roman"/>
        </w:rPr>
        <w:t>„</w:t>
      </w:r>
      <w:r w:rsidR="001C35A0" w:rsidRPr="00411D72">
        <w:rPr>
          <w:rFonts w:ascii="Times New Roman" w:hAnsi="Times New Roman" w:cs="Times New Roman"/>
        </w:rPr>
        <w:t xml:space="preserve">Veržliausi, daugiausiai į akcijas investuojantys pensijų fondai </w:t>
      </w:r>
      <w:r w:rsidR="00BC4615" w:rsidRPr="00411D72">
        <w:rPr>
          <w:rFonts w:ascii="Times New Roman" w:hAnsi="Times New Roman" w:cs="Times New Roman"/>
        </w:rPr>
        <w:t xml:space="preserve">paprastai yra </w:t>
      </w:r>
      <w:r w:rsidR="00E33229" w:rsidRPr="00411D72">
        <w:rPr>
          <w:rFonts w:ascii="Times New Roman" w:hAnsi="Times New Roman" w:cs="Times New Roman"/>
        </w:rPr>
        <w:t xml:space="preserve">ir </w:t>
      </w:r>
      <w:r w:rsidR="00BC4615" w:rsidRPr="00411D72">
        <w:rPr>
          <w:rFonts w:ascii="Times New Roman" w:hAnsi="Times New Roman" w:cs="Times New Roman"/>
        </w:rPr>
        <w:t xml:space="preserve">jautriausi rinkos svyravimams. </w:t>
      </w:r>
      <w:r w:rsidR="008F1A35" w:rsidRPr="00411D72">
        <w:rPr>
          <w:rFonts w:ascii="Times New Roman" w:hAnsi="Times New Roman" w:cs="Times New Roman"/>
        </w:rPr>
        <w:t xml:space="preserve">Natūralu, kad būtent jie jautriausiai </w:t>
      </w:r>
      <w:r w:rsidR="00C618F6" w:rsidRPr="00411D72">
        <w:rPr>
          <w:rFonts w:ascii="Times New Roman" w:hAnsi="Times New Roman" w:cs="Times New Roman"/>
        </w:rPr>
        <w:t xml:space="preserve">sureagavo ir į pastaruosius </w:t>
      </w:r>
      <w:r w:rsidR="00A61F58" w:rsidRPr="00411D72">
        <w:rPr>
          <w:rFonts w:ascii="Times New Roman" w:hAnsi="Times New Roman" w:cs="Times New Roman"/>
        </w:rPr>
        <w:t xml:space="preserve">ekonominius pasaulio </w:t>
      </w:r>
      <w:r w:rsidR="00C618F6" w:rsidRPr="00411D72">
        <w:rPr>
          <w:rFonts w:ascii="Times New Roman" w:hAnsi="Times New Roman" w:cs="Times New Roman"/>
        </w:rPr>
        <w:t xml:space="preserve">įvykius. Vis tik net </w:t>
      </w:r>
      <w:r w:rsidR="008F2EAC" w:rsidRPr="00411D72">
        <w:rPr>
          <w:rFonts w:ascii="Times New Roman" w:hAnsi="Times New Roman" w:cs="Times New Roman"/>
        </w:rPr>
        <w:t xml:space="preserve">ir </w:t>
      </w:r>
      <w:r w:rsidR="009660C4" w:rsidRPr="00411D72">
        <w:rPr>
          <w:rFonts w:ascii="Times New Roman" w:hAnsi="Times New Roman" w:cs="Times New Roman"/>
        </w:rPr>
        <w:t>juose pat</w:t>
      </w:r>
      <w:r w:rsidR="00460ADA" w:rsidRPr="00411D72">
        <w:rPr>
          <w:rFonts w:ascii="Times New Roman" w:hAnsi="Times New Roman" w:cs="Times New Roman"/>
        </w:rPr>
        <w:t xml:space="preserve">s </w:t>
      </w:r>
      <w:r w:rsidR="009660C4" w:rsidRPr="00411D72">
        <w:rPr>
          <w:rFonts w:ascii="Times New Roman" w:hAnsi="Times New Roman" w:cs="Times New Roman"/>
        </w:rPr>
        <w:t>didžiausi</w:t>
      </w:r>
      <w:r w:rsidR="00460ADA" w:rsidRPr="00411D72">
        <w:rPr>
          <w:rFonts w:ascii="Times New Roman" w:hAnsi="Times New Roman" w:cs="Times New Roman"/>
        </w:rPr>
        <w:t>as</w:t>
      </w:r>
      <w:r w:rsidR="009660C4" w:rsidRPr="00411D72">
        <w:rPr>
          <w:rFonts w:ascii="Times New Roman" w:hAnsi="Times New Roman" w:cs="Times New Roman"/>
        </w:rPr>
        <w:t xml:space="preserve"> </w:t>
      </w:r>
      <w:r w:rsidR="00FF754B" w:rsidRPr="00411D72">
        <w:rPr>
          <w:rFonts w:ascii="Times New Roman" w:hAnsi="Times New Roman" w:cs="Times New Roman"/>
        </w:rPr>
        <w:t>turto vertės sumažėjima</w:t>
      </w:r>
      <w:r w:rsidR="00460ADA" w:rsidRPr="00411D72">
        <w:rPr>
          <w:rFonts w:ascii="Times New Roman" w:hAnsi="Times New Roman" w:cs="Times New Roman"/>
        </w:rPr>
        <w:t>s</w:t>
      </w:r>
      <w:r w:rsidR="00403A13" w:rsidRPr="00411D72">
        <w:rPr>
          <w:rFonts w:ascii="Times New Roman" w:hAnsi="Times New Roman" w:cs="Times New Roman"/>
        </w:rPr>
        <w:t>,</w:t>
      </w:r>
      <w:r w:rsidR="00FF754B" w:rsidRPr="00411D72">
        <w:rPr>
          <w:rFonts w:ascii="Times New Roman" w:hAnsi="Times New Roman" w:cs="Times New Roman"/>
        </w:rPr>
        <w:t xml:space="preserve"> </w:t>
      </w:r>
      <w:r w:rsidR="005F63DA" w:rsidRPr="00411D72">
        <w:rPr>
          <w:rFonts w:ascii="Times New Roman" w:hAnsi="Times New Roman" w:cs="Times New Roman"/>
        </w:rPr>
        <w:t xml:space="preserve">tiek </w:t>
      </w:r>
      <w:r w:rsidR="00403A13" w:rsidRPr="00411D72">
        <w:rPr>
          <w:rFonts w:ascii="Times New Roman" w:hAnsi="Times New Roman" w:cs="Times New Roman"/>
        </w:rPr>
        <w:t xml:space="preserve">lyginant </w:t>
      </w:r>
      <w:r w:rsidR="00432067" w:rsidRPr="00411D72">
        <w:rPr>
          <w:rFonts w:ascii="Times New Roman" w:hAnsi="Times New Roman" w:cs="Times New Roman"/>
        </w:rPr>
        <w:t xml:space="preserve">pirmąjį šių metų ketvirtį su paskutiniu 2024 m. </w:t>
      </w:r>
      <w:r w:rsidR="00432067" w:rsidRPr="00411D72">
        <w:rPr>
          <w:rFonts w:ascii="Times New Roman" w:hAnsi="Times New Roman" w:cs="Times New Roman"/>
        </w:rPr>
        <w:lastRenderedPageBreak/>
        <w:t xml:space="preserve">ketvirčiu, </w:t>
      </w:r>
      <w:r w:rsidR="005F63DA" w:rsidRPr="00411D72">
        <w:rPr>
          <w:rFonts w:ascii="Times New Roman" w:hAnsi="Times New Roman" w:cs="Times New Roman"/>
        </w:rPr>
        <w:t xml:space="preserve">tiek su tuo pačiu laikotarpiu pernai, </w:t>
      </w:r>
      <w:r w:rsidR="00432067" w:rsidRPr="00411D72">
        <w:rPr>
          <w:rFonts w:ascii="Times New Roman" w:hAnsi="Times New Roman" w:cs="Times New Roman"/>
        </w:rPr>
        <w:t xml:space="preserve">nesiekė </w:t>
      </w:r>
      <w:r w:rsidR="00642B92" w:rsidRPr="00411D72">
        <w:rPr>
          <w:rFonts w:ascii="Times New Roman" w:hAnsi="Times New Roman" w:cs="Times New Roman"/>
        </w:rPr>
        <w:t xml:space="preserve">nė </w:t>
      </w:r>
      <w:r w:rsidR="00432067" w:rsidRPr="00411D72">
        <w:rPr>
          <w:rFonts w:ascii="Times New Roman" w:hAnsi="Times New Roman" w:cs="Times New Roman"/>
        </w:rPr>
        <w:t xml:space="preserve">7 proc. </w:t>
      </w:r>
      <w:r w:rsidR="00055747" w:rsidRPr="00411D72">
        <w:rPr>
          <w:rFonts w:ascii="Times New Roman" w:hAnsi="Times New Roman" w:cs="Times New Roman"/>
        </w:rPr>
        <w:t xml:space="preserve">Nepaisant šio nuosmukio, bendras juose </w:t>
      </w:r>
      <w:r w:rsidR="00642B92" w:rsidRPr="00411D72">
        <w:rPr>
          <w:rFonts w:ascii="Times New Roman" w:hAnsi="Times New Roman" w:cs="Times New Roman"/>
        </w:rPr>
        <w:t xml:space="preserve">nuo </w:t>
      </w:r>
      <w:r w:rsidR="006357E6">
        <w:rPr>
          <w:rFonts w:ascii="Times New Roman" w:hAnsi="Times New Roman" w:cs="Times New Roman"/>
        </w:rPr>
        <w:t>2019 m.</w:t>
      </w:r>
      <w:r w:rsidR="00642B92" w:rsidRPr="00411D72">
        <w:rPr>
          <w:rFonts w:ascii="Times New Roman" w:hAnsi="Times New Roman" w:cs="Times New Roman"/>
        </w:rPr>
        <w:t xml:space="preserve"> </w:t>
      </w:r>
      <w:r w:rsidR="009907B8" w:rsidRPr="00411D72">
        <w:rPr>
          <w:rFonts w:ascii="Times New Roman" w:hAnsi="Times New Roman" w:cs="Times New Roman"/>
        </w:rPr>
        <w:t xml:space="preserve">sukaupto turto prieaugis viršija 76 proc.“, – skaičiuoja T. Gudaitis. </w:t>
      </w:r>
    </w:p>
    <w:p w14:paraId="19737646" w14:textId="0D8814FF" w:rsidR="002C0B9D" w:rsidRPr="00411D72" w:rsidRDefault="00642B92" w:rsidP="00411D72">
      <w:pPr>
        <w:jc w:val="both"/>
        <w:rPr>
          <w:rFonts w:ascii="Times New Roman" w:hAnsi="Times New Roman" w:cs="Times New Roman"/>
          <w:b/>
          <w:bCs/>
        </w:rPr>
      </w:pPr>
      <w:r w:rsidRPr="00411D72">
        <w:rPr>
          <w:rFonts w:ascii="Times New Roman" w:hAnsi="Times New Roman" w:cs="Times New Roman"/>
          <w:b/>
          <w:bCs/>
        </w:rPr>
        <w:t xml:space="preserve">Svarbiausia – nepamesti galvos </w:t>
      </w:r>
    </w:p>
    <w:p w14:paraId="3BD8415E" w14:textId="77777777" w:rsidR="00534A39" w:rsidRDefault="00642B92" w:rsidP="00411D72">
      <w:pPr>
        <w:jc w:val="both"/>
        <w:rPr>
          <w:rFonts w:ascii="Times New Roman" w:hAnsi="Times New Roman" w:cs="Times New Roman"/>
        </w:rPr>
      </w:pPr>
      <w:r w:rsidRPr="00411D72">
        <w:rPr>
          <w:rFonts w:ascii="Times New Roman" w:hAnsi="Times New Roman" w:cs="Times New Roman"/>
        </w:rPr>
        <w:t xml:space="preserve">LIPFA vadovas akcentuoja, kad </w:t>
      </w:r>
      <w:r w:rsidR="008C13F0" w:rsidRPr="00411D72">
        <w:rPr>
          <w:rFonts w:ascii="Times New Roman" w:hAnsi="Times New Roman" w:cs="Times New Roman"/>
        </w:rPr>
        <w:t>finansų rinkoms koreguojantis žemyn, svarbu nepanikuoti</w:t>
      </w:r>
      <w:r w:rsidR="001E721D" w:rsidRPr="00411D72">
        <w:rPr>
          <w:rFonts w:ascii="Times New Roman" w:hAnsi="Times New Roman" w:cs="Times New Roman"/>
        </w:rPr>
        <w:t>,</w:t>
      </w:r>
      <w:r w:rsidR="008C13F0" w:rsidRPr="00411D72">
        <w:rPr>
          <w:rFonts w:ascii="Times New Roman" w:hAnsi="Times New Roman" w:cs="Times New Roman"/>
        </w:rPr>
        <w:t xml:space="preserve"> </w:t>
      </w:r>
      <w:r w:rsidR="001E721D" w:rsidRPr="00411D72">
        <w:rPr>
          <w:rFonts w:ascii="Times New Roman" w:hAnsi="Times New Roman" w:cs="Times New Roman"/>
        </w:rPr>
        <w:t xml:space="preserve">nes </w:t>
      </w:r>
      <w:r w:rsidR="000036E4" w:rsidRPr="00411D72">
        <w:rPr>
          <w:rFonts w:ascii="Times New Roman" w:hAnsi="Times New Roman" w:cs="Times New Roman"/>
        </w:rPr>
        <w:t xml:space="preserve">bet kurį </w:t>
      </w:r>
      <w:r w:rsidR="001E721D" w:rsidRPr="00411D72">
        <w:rPr>
          <w:rFonts w:ascii="Times New Roman" w:hAnsi="Times New Roman" w:cs="Times New Roman"/>
        </w:rPr>
        <w:t>nuosmuk</w:t>
      </w:r>
      <w:r w:rsidR="000036E4" w:rsidRPr="00411D72">
        <w:rPr>
          <w:rFonts w:ascii="Times New Roman" w:hAnsi="Times New Roman" w:cs="Times New Roman"/>
        </w:rPr>
        <w:t>į</w:t>
      </w:r>
      <w:r w:rsidR="001E721D" w:rsidRPr="00411D72">
        <w:rPr>
          <w:rFonts w:ascii="Times New Roman" w:hAnsi="Times New Roman" w:cs="Times New Roman"/>
        </w:rPr>
        <w:t xml:space="preserve"> visuomet </w:t>
      </w:r>
      <w:r w:rsidR="000036E4" w:rsidRPr="00411D72">
        <w:rPr>
          <w:rFonts w:ascii="Times New Roman" w:hAnsi="Times New Roman" w:cs="Times New Roman"/>
        </w:rPr>
        <w:t>keičia augimas</w:t>
      </w:r>
      <w:r w:rsidR="008C13F0" w:rsidRPr="00411D72">
        <w:rPr>
          <w:rFonts w:ascii="Times New Roman" w:hAnsi="Times New Roman" w:cs="Times New Roman"/>
        </w:rPr>
        <w:t xml:space="preserve">. </w:t>
      </w:r>
    </w:p>
    <w:p w14:paraId="38E282D0" w14:textId="1F8B2875" w:rsidR="007547A3" w:rsidRPr="00411D72" w:rsidRDefault="00534A39" w:rsidP="00411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534A39">
        <w:rPr>
          <w:rFonts w:ascii="Times New Roman" w:hAnsi="Times New Roman" w:cs="Times New Roman"/>
        </w:rPr>
        <w:t>Lietuvo</w:t>
      </w:r>
      <w:r>
        <w:rPr>
          <w:rFonts w:ascii="Times New Roman" w:hAnsi="Times New Roman" w:cs="Times New Roman"/>
        </w:rPr>
        <w:t>s</w:t>
      </w:r>
      <w:r w:rsidRPr="00534A39">
        <w:rPr>
          <w:rFonts w:ascii="Times New Roman" w:hAnsi="Times New Roman" w:cs="Times New Roman"/>
        </w:rPr>
        <w:t xml:space="preserve"> II pakopos pensijų fondų investavimas yra grindžiamas gyvenimo ciklo principu</w:t>
      </w:r>
      <w:r>
        <w:rPr>
          <w:rFonts w:ascii="Times New Roman" w:hAnsi="Times New Roman" w:cs="Times New Roman"/>
        </w:rPr>
        <w:t>.</w:t>
      </w:r>
      <w:r w:rsidRPr="00534A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534A39">
        <w:rPr>
          <w:rFonts w:ascii="Times New Roman" w:hAnsi="Times New Roman" w:cs="Times New Roman"/>
        </w:rPr>
        <w:t xml:space="preserve">ai reiškia, kad </w:t>
      </w:r>
      <w:r w:rsidR="000844A3">
        <w:rPr>
          <w:rFonts w:ascii="Times New Roman" w:hAnsi="Times New Roman" w:cs="Times New Roman"/>
        </w:rPr>
        <w:t xml:space="preserve">konkretaus </w:t>
      </w:r>
      <w:r w:rsidRPr="00534A39">
        <w:rPr>
          <w:rFonts w:ascii="Times New Roman" w:hAnsi="Times New Roman" w:cs="Times New Roman"/>
        </w:rPr>
        <w:t xml:space="preserve">fondo investicijų rizika automatiškai pritaikoma prie </w:t>
      </w:r>
      <w:r w:rsidR="000844A3">
        <w:rPr>
          <w:rFonts w:ascii="Times New Roman" w:hAnsi="Times New Roman" w:cs="Times New Roman"/>
        </w:rPr>
        <w:t xml:space="preserve">jame </w:t>
      </w:r>
      <w:r w:rsidR="000C2195">
        <w:rPr>
          <w:rFonts w:ascii="Times New Roman" w:hAnsi="Times New Roman" w:cs="Times New Roman"/>
        </w:rPr>
        <w:t>dalyvauj</w:t>
      </w:r>
      <w:r w:rsidR="000844A3">
        <w:rPr>
          <w:rFonts w:ascii="Times New Roman" w:hAnsi="Times New Roman" w:cs="Times New Roman"/>
        </w:rPr>
        <w:t xml:space="preserve">ančio </w:t>
      </w:r>
      <w:r w:rsidR="000C2195">
        <w:rPr>
          <w:rFonts w:ascii="Times New Roman" w:hAnsi="Times New Roman" w:cs="Times New Roman"/>
        </w:rPr>
        <w:t>asmens</w:t>
      </w:r>
      <w:r w:rsidRPr="00534A39">
        <w:rPr>
          <w:rFonts w:ascii="Times New Roman" w:hAnsi="Times New Roman" w:cs="Times New Roman"/>
        </w:rPr>
        <w:t xml:space="preserve"> amžiaus. Jaunesniems </w:t>
      </w:r>
      <w:r w:rsidR="000C2195">
        <w:rPr>
          <w:rFonts w:ascii="Times New Roman" w:hAnsi="Times New Roman" w:cs="Times New Roman"/>
        </w:rPr>
        <w:t>dalyviams</w:t>
      </w:r>
      <w:r w:rsidRPr="00534A39">
        <w:rPr>
          <w:rFonts w:ascii="Times New Roman" w:hAnsi="Times New Roman" w:cs="Times New Roman"/>
        </w:rPr>
        <w:t xml:space="preserve"> </w:t>
      </w:r>
      <w:r w:rsidR="00FD5004">
        <w:rPr>
          <w:rFonts w:ascii="Times New Roman" w:hAnsi="Times New Roman" w:cs="Times New Roman"/>
        </w:rPr>
        <w:t>skirtuose fonduose</w:t>
      </w:r>
      <w:r w:rsidR="00FD5004" w:rsidRPr="00534A39">
        <w:rPr>
          <w:rFonts w:ascii="Times New Roman" w:hAnsi="Times New Roman" w:cs="Times New Roman"/>
        </w:rPr>
        <w:t xml:space="preserve">, siekiant pasinaudoti ilgalaikiu </w:t>
      </w:r>
      <w:r w:rsidR="00C50B32">
        <w:rPr>
          <w:rFonts w:ascii="Times New Roman" w:hAnsi="Times New Roman" w:cs="Times New Roman"/>
        </w:rPr>
        <w:t xml:space="preserve">finansų </w:t>
      </w:r>
      <w:r w:rsidR="00FD5004" w:rsidRPr="00534A39">
        <w:rPr>
          <w:rFonts w:ascii="Times New Roman" w:hAnsi="Times New Roman" w:cs="Times New Roman"/>
        </w:rPr>
        <w:t xml:space="preserve">rinkų augimu, </w:t>
      </w:r>
      <w:r w:rsidR="00FD5004">
        <w:rPr>
          <w:rFonts w:ascii="Times New Roman" w:hAnsi="Times New Roman" w:cs="Times New Roman"/>
        </w:rPr>
        <w:t xml:space="preserve">yra </w:t>
      </w:r>
      <w:r w:rsidRPr="00534A39">
        <w:rPr>
          <w:rFonts w:ascii="Times New Roman" w:hAnsi="Times New Roman" w:cs="Times New Roman"/>
        </w:rPr>
        <w:t>didesnė akcijų dalis</w:t>
      </w:r>
      <w:r w:rsidR="00FD5004">
        <w:rPr>
          <w:rFonts w:ascii="Times New Roman" w:hAnsi="Times New Roman" w:cs="Times New Roman"/>
        </w:rPr>
        <w:t xml:space="preserve">, </w:t>
      </w:r>
      <w:r w:rsidRPr="00534A39">
        <w:rPr>
          <w:rFonts w:ascii="Times New Roman" w:hAnsi="Times New Roman" w:cs="Times New Roman"/>
        </w:rPr>
        <w:t xml:space="preserve">o </w:t>
      </w:r>
      <w:r w:rsidR="00FD5004">
        <w:rPr>
          <w:rFonts w:ascii="Times New Roman" w:hAnsi="Times New Roman" w:cs="Times New Roman"/>
        </w:rPr>
        <w:t xml:space="preserve">vis labiau </w:t>
      </w:r>
      <w:r w:rsidRPr="00534A39">
        <w:rPr>
          <w:rFonts w:ascii="Times New Roman" w:hAnsi="Times New Roman" w:cs="Times New Roman"/>
        </w:rPr>
        <w:t>artėjant pensijai</w:t>
      </w:r>
      <w:r w:rsidR="00FD5004">
        <w:rPr>
          <w:rFonts w:ascii="Times New Roman" w:hAnsi="Times New Roman" w:cs="Times New Roman"/>
        </w:rPr>
        <w:t>,</w:t>
      </w:r>
      <w:r w:rsidRPr="00534A39">
        <w:rPr>
          <w:rFonts w:ascii="Times New Roman" w:hAnsi="Times New Roman" w:cs="Times New Roman"/>
        </w:rPr>
        <w:t xml:space="preserve"> </w:t>
      </w:r>
      <w:r w:rsidR="00FD5004">
        <w:rPr>
          <w:rFonts w:ascii="Times New Roman" w:hAnsi="Times New Roman" w:cs="Times New Roman"/>
        </w:rPr>
        <w:t xml:space="preserve">pamažu </w:t>
      </w:r>
      <w:r w:rsidRPr="00534A39">
        <w:rPr>
          <w:rFonts w:ascii="Times New Roman" w:hAnsi="Times New Roman" w:cs="Times New Roman"/>
        </w:rPr>
        <w:t xml:space="preserve">didinama konservatyvių investicijų dalis, kad būtų apsaugota </w:t>
      </w:r>
      <w:r w:rsidR="00CD49C2">
        <w:rPr>
          <w:rFonts w:ascii="Times New Roman" w:hAnsi="Times New Roman" w:cs="Times New Roman"/>
        </w:rPr>
        <w:t xml:space="preserve">visa </w:t>
      </w:r>
      <w:r w:rsidRPr="00534A39">
        <w:rPr>
          <w:rFonts w:ascii="Times New Roman" w:hAnsi="Times New Roman" w:cs="Times New Roman"/>
        </w:rPr>
        <w:t>sukaupta suma. Toks modelis padeda užtikrinti nuoseklų ir tvarų kapitalo augimą per visą gyvenim</w:t>
      </w:r>
      <w:r w:rsidR="00CD49C2">
        <w:rPr>
          <w:rFonts w:ascii="Times New Roman" w:hAnsi="Times New Roman" w:cs="Times New Roman"/>
        </w:rPr>
        <w:t>ą, iki pat</w:t>
      </w:r>
      <w:r w:rsidRPr="00534A39">
        <w:rPr>
          <w:rFonts w:ascii="Times New Roman" w:hAnsi="Times New Roman" w:cs="Times New Roman"/>
        </w:rPr>
        <w:t xml:space="preserve"> </w:t>
      </w:r>
      <w:r w:rsidR="00CD49C2">
        <w:rPr>
          <w:rFonts w:ascii="Times New Roman" w:hAnsi="Times New Roman" w:cs="Times New Roman"/>
        </w:rPr>
        <w:t xml:space="preserve">pensinio amžiaus“, </w:t>
      </w:r>
      <w:r w:rsidR="00E76A06">
        <w:rPr>
          <w:rFonts w:ascii="Times New Roman" w:hAnsi="Times New Roman" w:cs="Times New Roman"/>
        </w:rPr>
        <w:t>–</w:t>
      </w:r>
      <w:r w:rsidR="00CD49C2">
        <w:rPr>
          <w:rFonts w:ascii="Times New Roman" w:hAnsi="Times New Roman" w:cs="Times New Roman"/>
        </w:rPr>
        <w:t xml:space="preserve"> </w:t>
      </w:r>
      <w:r w:rsidR="00E76A06">
        <w:rPr>
          <w:rFonts w:ascii="Times New Roman" w:hAnsi="Times New Roman" w:cs="Times New Roman"/>
        </w:rPr>
        <w:t xml:space="preserve">pabrėžia T. Gudaitis. </w:t>
      </w:r>
    </w:p>
    <w:p w14:paraId="00D2F913" w14:textId="77777777" w:rsidR="002A1D6A" w:rsidRDefault="00E76A06" w:rsidP="00411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Jis įsitikinęs, kad s</w:t>
      </w:r>
      <w:r w:rsidR="007547A3" w:rsidRPr="00411D72">
        <w:rPr>
          <w:rFonts w:ascii="Times New Roman" w:hAnsi="Times New Roman" w:cs="Times New Roman"/>
        </w:rPr>
        <w:t xml:space="preserve">usinormalizavus visiems </w:t>
      </w:r>
      <w:r>
        <w:rPr>
          <w:rFonts w:ascii="Times New Roman" w:hAnsi="Times New Roman" w:cs="Times New Roman"/>
        </w:rPr>
        <w:t xml:space="preserve">dabar vykstantiems </w:t>
      </w:r>
      <w:r w:rsidR="007547A3" w:rsidRPr="00411D72">
        <w:rPr>
          <w:rFonts w:ascii="Times New Roman" w:hAnsi="Times New Roman" w:cs="Times New Roman"/>
        </w:rPr>
        <w:t xml:space="preserve">ekonominiams procesams, </w:t>
      </w:r>
      <w:r w:rsidR="00B12425" w:rsidRPr="00411D72">
        <w:rPr>
          <w:rFonts w:ascii="Times New Roman" w:hAnsi="Times New Roman" w:cs="Times New Roman"/>
        </w:rPr>
        <w:t>finansų rinkos vėl ims žaliuoti</w:t>
      </w:r>
      <w:r>
        <w:rPr>
          <w:rFonts w:ascii="Times New Roman" w:hAnsi="Times New Roman" w:cs="Times New Roman"/>
        </w:rPr>
        <w:t>.</w:t>
      </w:r>
      <w:r w:rsidR="00B12425" w:rsidRPr="00411D72">
        <w:rPr>
          <w:rFonts w:ascii="Times New Roman" w:hAnsi="Times New Roman" w:cs="Times New Roman"/>
        </w:rPr>
        <w:t xml:space="preserve"> </w:t>
      </w:r>
      <w:r w:rsidR="002A1D6A">
        <w:rPr>
          <w:rFonts w:ascii="Times New Roman" w:hAnsi="Times New Roman" w:cs="Times New Roman"/>
        </w:rPr>
        <w:t>Pasak T. Gudaičio, s</w:t>
      </w:r>
      <w:r w:rsidR="000036E4" w:rsidRPr="00411D72">
        <w:rPr>
          <w:rFonts w:ascii="Times New Roman" w:hAnsi="Times New Roman" w:cs="Times New Roman"/>
        </w:rPr>
        <w:t xml:space="preserve">varbu prisiminti pagrindinį </w:t>
      </w:r>
      <w:r w:rsidR="00453053" w:rsidRPr="00411D72">
        <w:rPr>
          <w:rFonts w:ascii="Times New Roman" w:hAnsi="Times New Roman" w:cs="Times New Roman"/>
        </w:rPr>
        <w:t xml:space="preserve">į </w:t>
      </w:r>
      <w:r w:rsidR="000036E4" w:rsidRPr="00411D72">
        <w:rPr>
          <w:rFonts w:ascii="Times New Roman" w:hAnsi="Times New Roman" w:cs="Times New Roman"/>
        </w:rPr>
        <w:t xml:space="preserve">pensijų fondus </w:t>
      </w:r>
      <w:r w:rsidR="00453053" w:rsidRPr="00411D72">
        <w:rPr>
          <w:rFonts w:ascii="Times New Roman" w:hAnsi="Times New Roman" w:cs="Times New Roman"/>
        </w:rPr>
        <w:t xml:space="preserve">investuojamų </w:t>
      </w:r>
      <w:r w:rsidR="000036E4" w:rsidRPr="00411D72">
        <w:rPr>
          <w:rFonts w:ascii="Times New Roman" w:hAnsi="Times New Roman" w:cs="Times New Roman"/>
        </w:rPr>
        <w:t xml:space="preserve">lėšų tikslą </w:t>
      </w:r>
      <w:r w:rsidR="00800611" w:rsidRPr="00411D72">
        <w:rPr>
          <w:rFonts w:ascii="Times New Roman" w:hAnsi="Times New Roman" w:cs="Times New Roman"/>
        </w:rPr>
        <w:t>–</w:t>
      </w:r>
      <w:r w:rsidR="000036E4" w:rsidRPr="00411D72">
        <w:rPr>
          <w:rFonts w:ascii="Times New Roman" w:hAnsi="Times New Roman" w:cs="Times New Roman"/>
        </w:rPr>
        <w:t xml:space="preserve"> </w:t>
      </w:r>
      <w:r w:rsidR="00800611" w:rsidRPr="00411D72">
        <w:rPr>
          <w:rFonts w:ascii="Times New Roman" w:hAnsi="Times New Roman" w:cs="Times New Roman"/>
        </w:rPr>
        <w:t xml:space="preserve">sukaupti papildomų pajamų senatvei. </w:t>
      </w:r>
    </w:p>
    <w:p w14:paraId="7D8D2BC0" w14:textId="797A096F" w:rsidR="002C0B9D" w:rsidRPr="00411D72" w:rsidRDefault="002A1D6A" w:rsidP="00411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B47357" w:rsidRPr="00411D72">
        <w:rPr>
          <w:rFonts w:ascii="Times New Roman" w:hAnsi="Times New Roman" w:cs="Times New Roman"/>
        </w:rPr>
        <w:t xml:space="preserve">Kitaip tariant, </w:t>
      </w:r>
      <w:r w:rsidR="00C262D5" w:rsidRPr="00411D72">
        <w:rPr>
          <w:rFonts w:ascii="Times New Roman" w:hAnsi="Times New Roman" w:cs="Times New Roman"/>
        </w:rPr>
        <w:t xml:space="preserve">tikslas yra ilgalaikis. </w:t>
      </w:r>
      <w:r w:rsidR="00F068DE" w:rsidRPr="00411D72">
        <w:rPr>
          <w:rFonts w:ascii="Times New Roman" w:hAnsi="Times New Roman" w:cs="Times New Roman"/>
        </w:rPr>
        <w:t xml:space="preserve">Žvelgiant tiek į pensijų fondų </w:t>
      </w:r>
      <w:r w:rsidR="00D76788" w:rsidRPr="00411D72">
        <w:rPr>
          <w:rFonts w:ascii="Times New Roman" w:hAnsi="Times New Roman" w:cs="Times New Roman"/>
        </w:rPr>
        <w:t xml:space="preserve">grąžos </w:t>
      </w:r>
      <w:r w:rsidR="00F068DE" w:rsidRPr="00411D72">
        <w:rPr>
          <w:rFonts w:ascii="Times New Roman" w:hAnsi="Times New Roman" w:cs="Times New Roman"/>
        </w:rPr>
        <w:t xml:space="preserve">rezultatus nuo veiklos pradžios, tiek į bendrą juose sukauptą turtą, akivaizdu, kad </w:t>
      </w:r>
      <w:r w:rsidR="00A35A76" w:rsidRPr="00411D72">
        <w:rPr>
          <w:rFonts w:ascii="Times New Roman" w:hAnsi="Times New Roman" w:cs="Times New Roman"/>
        </w:rPr>
        <w:t xml:space="preserve">šiam </w:t>
      </w:r>
      <w:r w:rsidR="00E14584" w:rsidRPr="00411D72">
        <w:rPr>
          <w:rFonts w:ascii="Times New Roman" w:hAnsi="Times New Roman" w:cs="Times New Roman"/>
        </w:rPr>
        <w:t xml:space="preserve">ilgalaikiam </w:t>
      </w:r>
      <w:r w:rsidR="00A35A76" w:rsidRPr="00411D72">
        <w:rPr>
          <w:rFonts w:ascii="Times New Roman" w:hAnsi="Times New Roman" w:cs="Times New Roman"/>
        </w:rPr>
        <w:t xml:space="preserve">tikslui pasiekti dabartiniai finansų rinkų stabtelėjimai </w:t>
      </w:r>
      <w:r w:rsidR="008E40CA" w:rsidRPr="00411D72">
        <w:rPr>
          <w:rFonts w:ascii="Times New Roman" w:hAnsi="Times New Roman" w:cs="Times New Roman"/>
        </w:rPr>
        <w:t xml:space="preserve">turi visiškai minimalų ir ilguoju laikotarpiu neišliksiantį poveikį“, – reziumuoja T. Gudaitis. </w:t>
      </w:r>
    </w:p>
    <w:tbl>
      <w:tblPr>
        <w:tblW w:w="9084" w:type="dxa"/>
        <w:tblLook w:val="04A0" w:firstRow="1" w:lastRow="0" w:firstColumn="1" w:lastColumn="0" w:noHBand="0" w:noVBand="1"/>
      </w:tblPr>
      <w:tblGrid>
        <w:gridCol w:w="3539"/>
        <w:gridCol w:w="2108"/>
        <w:gridCol w:w="3437"/>
      </w:tblGrid>
      <w:tr w:rsidR="00107A6A" w:rsidRPr="00107A6A" w14:paraId="36F8CC1B" w14:textId="77777777" w:rsidTr="00107A6A">
        <w:trPr>
          <w:trHeight w:val="30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6B8" w14:textId="37984F3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II pakopos fondų kategorijos grąžos vidurkis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2BF6" w14:textId="77777777" w:rsidR="00107A6A" w:rsidRPr="00107A6A" w:rsidRDefault="00107A6A" w:rsidP="0010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Nuo 2025 m. pradžios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6245" w14:textId="77777777" w:rsidR="00107A6A" w:rsidRPr="00107A6A" w:rsidRDefault="00107A6A" w:rsidP="0010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Nuo GCF veiklos pradžios (2019 m.)</w:t>
            </w:r>
          </w:p>
        </w:tc>
      </w:tr>
      <w:tr w:rsidR="00107A6A" w:rsidRPr="00107A6A" w14:paraId="1622DB17" w14:textId="77777777" w:rsidTr="00107A6A">
        <w:trPr>
          <w:trHeight w:val="30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F5E3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Pensija 1996–2002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C347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-6,09 %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7561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76,36 %</w:t>
            </w:r>
          </w:p>
        </w:tc>
      </w:tr>
      <w:tr w:rsidR="00107A6A" w:rsidRPr="00107A6A" w14:paraId="0DAF9AC0" w14:textId="77777777" w:rsidTr="00107A6A">
        <w:trPr>
          <w:trHeight w:val="30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B475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Pensija 1989–1995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C1B2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-5,71 %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B7A8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79,90 %</w:t>
            </w:r>
          </w:p>
        </w:tc>
      </w:tr>
      <w:tr w:rsidR="00107A6A" w:rsidRPr="00107A6A" w14:paraId="15D55D44" w14:textId="77777777" w:rsidTr="00107A6A">
        <w:trPr>
          <w:trHeight w:val="30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6EC0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Pensija 1982–1988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7BA9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-5,76 %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0045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81,35 %</w:t>
            </w:r>
          </w:p>
        </w:tc>
      </w:tr>
      <w:tr w:rsidR="00107A6A" w:rsidRPr="00107A6A" w14:paraId="624CEEC0" w14:textId="77777777" w:rsidTr="00107A6A">
        <w:trPr>
          <w:trHeight w:val="30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B978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Pensija 1975–1981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FA2C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-5,78 %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5210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82,59 %</w:t>
            </w:r>
          </w:p>
        </w:tc>
      </w:tr>
      <w:tr w:rsidR="00107A6A" w:rsidRPr="00107A6A" w14:paraId="44ED5B91" w14:textId="77777777" w:rsidTr="00107A6A">
        <w:trPr>
          <w:trHeight w:val="30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BC5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Pensija 1968–1974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ED3F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-4,04 %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6B12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71,25 %</w:t>
            </w:r>
          </w:p>
        </w:tc>
      </w:tr>
      <w:tr w:rsidR="00107A6A" w:rsidRPr="00107A6A" w14:paraId="2A6B7D08" w14:textId="77777777" w:rsidTr="00107A6A">
        <w:trPr>
          <w:trHeight w:val="30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B532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Pensija 1961–1967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321A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-1,99 %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01B5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40,45 %</w:t>
            </w:r>
          </w:p>
        </w:tc>
      </w:tr>
      <w:tr w:rsidR="00107A6A" w:rsidRPr="00107A6A" w14:paraId="19227CE8" w14:textId="77777777" w:rsidTr="00107A6A">
        <w:trPr>
          <w:trHeight w:val="30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748B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Pensija 1954–1960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F420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-0,88 %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64BD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15,31 %</w:t>
            </w:r>
          </w:p>
        </w:tc>
      </w:tr>
      <w:tr w:rsidR="00107A6A" w:rsidRPr="00107A6A" w14:paraId="190A557D" w14:textId="77777777" w:rsidTr="00107A6A">
        <w:trPr>
          <w:trHeight w:val="30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8661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Turto išsaugojimo fondas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169F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-1,19 %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B45F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12,61 %</w:t>
            </w:r>
          </w:p>
        </w:tc>
      </w:tr>
      <w:tr w:rsidR="00107A6A" w:rsidRPr="00107A6A" w14:paraId="743E7EA0" w14:textId="77777777" w:rsidTr="00107A6A">
        <w:trPr>
          <w:trHeight w:val="30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E5FFF" w14:textId="77777777" w:rsidR="00107A6A" w:rsidRPr="000B4A63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0B4A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Bendras svertinis vidurkis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8D55" w14:textId="6A575EFB" w:rsidR="00107A6A" w:rsidRPr="000B4A63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0B4A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-4,</w:t>
            </w:r>
            <w:r w:rsidR="000B4A63" w:rsidRPr="000B4A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52</w:t>
            </w:r>
            <w:r w:rsidRPr="000B4A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%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CB99" w14:textId="7FB39088" w:rsidR="00107A6A" w:rsidRPr="000B4A63" w:rsidRDefault="000B4A63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0B4A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70</w:t>
            </w:r>
            <w:r w:rsidR="00107A6A" w:rsidRPr="000B4A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,</w:t>
            </w:r>
            <w:r w:rsidRPr="000B4A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15</w:t>
            </w:r>
            <w:r w:rsidR="00107A6A" w:rsidRPr="000B4A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%</w:t>
            </w:r>
          </w:p>
        </w:tc>
      </w:tr>
    </w:tbl>
    <w:p w14:paraId="6C3F931B" w14:textId="77777777" w:rsidR="00107A6A" w:rsidRDefault="00107A6A" w:rsidP="00411D72">
      <w:pPr>
        <w:jc w:val="both"/>
        <w:rPr>
          <w:rFonts w:ascii="Times New Roman" w:hAnsi="Times New Roman" w:cs="Times New Roman"/>
        </w:rPr>
      </w:pPr>
    </w:p>
    <w:tbl>
      <w:tblPr>
        <w:tblW w:w="7000" w:type="dxa"/>
        <w:tblLook w:val="04A0" w:firstRow="1" w:lastRow="0" w:firstColumn="1" w:lastColumn="0" w:noHBand="0" w:noVBand="1"/>
      </w:tblPr>
      <w:tblGrid>
        <w:gridCol w:w="4660"/>
        <w:gridCol w:w="2340"/>
      </w:tblGrid>
      <w:tr w:rsidR="00107A6A" w:rsidRPr="00107A6A" w14:paraId="61D6871E" w14:textId="77777777" w:rsidTr="00107A6A">
        <w:trPr>
          <w:trHeight w:val="288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F8B9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III pakopos fondų kategorijos grąžos vidurkis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A533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Nuo 2025 m. pradžios</w:t>
            </w:r>
          </w:p>
        </w:tc>
      </w:tr>
      <w:tr w:rsidR="00107A6A" w:rsidRPr="00107A6A" w14:paraId="0E5828DE" w14:textId="77777777" w:rsidTr="00107A6A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71D2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Didesnės akcijų dalies P3P fondai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8304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-5,64 %</w:t>
            </w:r>
          </w:p>
        </w:tc>
      </w:tr>
      <w:tr w:rsidR="00107A6A" w:rsidRPr="00107A6A" w14:paraId="15A743B0" w14:textId="77777777" w:rsidTr="00107A6A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7C3A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Mišraus investavimo P3P fondai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A405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-2,95 %</w:t>
            </w:r>
          </w:p>
        </w:tc>
      </w:tr>
      <w:tr w:rsidR="00107A6A" w:rsidRPr="00107A6A" w14:paraId="177EE563" w14:textId="77777777" w:rsidTr="00107A6A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71C1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Mažesnės rizikos P3P fondai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E982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-0,27 %</w:t>
            </w:r>
          </w:p>
        </w:tc>
      </w:tr>
      <w:tr w:rsidR="00107A6A" w:rsidRPr="00107A6A" w14:paraId="58C1EE0B" w14:textId="77777777" w:rsidTr="00107A6A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D38A" w14:textId="77777777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Bendras svertinis vidurkis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4767" w14:textId="0D198E49" w:rsidR="00107A6A" w:rsidRPr="00107A6A" w:rsidRDefault="00107A6A" w:rsidP="0010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</w:pPr>
            <w:r w:rsidRPr="00107A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-4,</w:t>
            </w:r>
            <w:r w:rsidR="00DA01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43</w:t>
            </w:r>
            <w:r w:rsidRPr="00107A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 w:bidi="ar-SA"/>
                <w14:ligatures w14:val="none"/>
              </w:rPr>
              <w:t> %</w:t>
            </w:r>
          </w:p>
        </w:tc>
      </w:tr>
    </w:tbl>
    <w:p w14:paraId="7D5CF884" w14:textId="77777777" w:rsidR="00107A6A" w:rsidRPr="00411D72" w:rsidRDefault="00107A6A" w:rsidP="00411D72">
      <w:pPr>
        <w:jc w:val="both"/>
        <w:rPr>
          <w:rFonts w:ascii="Times New Roman" w:hAnsi="Times New Roman" w:cs="Times New Roman"/>
        </w:rPr>
      </w:pPr>
    </w:p>
    <w:sectPr w:rsidR="00107A6A" w:rsidRPr="00411D72" w:rsidSect="000B4A63">
      <w:headerReference w:type="default" r:id="rId6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DD30" w14:textId="77777777" w:rsidR="000E030A" w:rsidRDefault="000E030A" w:rsidP="00411D72">
      <w:pPr>
        <w:spacing w:after="0" w:line="240" w:lineRule="auto"/>
      </w:pPr>
      <w:r>
        <w:separator/>
      </w:r>
    </w:p>
  </w:endnote>
  <w:endnote w:type="continuationSeparator" w:id="0">
    <w:p w14:paraId="391D8BA1" w14:textId="77777777" w:rsidR="000E030A" w:rsidRDefault="000E030A" w:rsidP="0041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C8A5" w14:textId="77777777" w:rsidR="000E030A" w:rsidRDefault="000E030A" w:rsidP="00411D72">
      <w:pPr>
        <w:spacing w:after="0" w:line="240" w:lineRule="auto"/>
      </w:pPr>
      <w:r>
        <w:separator/>
      </w:r>
    </w:p>
  </w:footnote>
  <w:footnote w:type="continuationSeparator" w:id="0">
    <w:p w14:paraId="32707CD2" w14:textId="77777777" w:rsidR="000E030A" w:rsidRDefault="000E030A" w:rsidP="00411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EC33" w14:textId="212D5E99" w:rsidR="00411D72" w:rsidRDefault="00411D72" w:rsidP="00411D72">
    <w:pPr>
      <w:pStyle w:val="Header"/>
      <w:jc w:val="right"/>
    </w:pPr>
    <w:r>
      <w:rPr>
        <w:noProof/>
      </w:rPr>
      <w:drawing>
        <wp:inline distT="0" distB="0" distL="0" distR="0" wp14:anchorId="6492C81B" wp14:editId="6E139A4F">
          <wp:extent cx="2393950" cy="387350"/>
          <wp:effectExtent l="0" t="0" r="6350" b="0"/>
          <wp:docPr id="140639436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394361" name="Picture 1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A8"/>
    <w:rsid w:val="000028BD"/>
    <w:rsid w:val="00003085"/>
    <w:rsid w:val="000036E4"/>
    <w:rsid w:val="00022F76"/>
    <w:rsid w:val="000472FA"/>
    <w:rsid w:val="000529FD"/>
    <w:rsid w:val="0005392E"/>
    <w:rsid w:val="00055747"/>
    <w:rsid w:val="000620B7"/>
    <w:rsid w:val="0006212B"/>
    <w:rsid w:val="00070BE2"/>
    <w:rsid w:val="000821D9"/>
    <w:rsid w:val="0008433C"/>
    <w:rsid w:val="000844A3"/>
    <w:rsid w:val="00090378"/>
    <w:rsid w:val="000911CA"/>
    <w:rsid w:val="000A519D"/>
    <w:rsid w:val="000A59B2"/>
    <w:rsid w:val="000B119A"/>
    <w:rsid w:val="000B4A63"/>
    <w:rsid w:val="000B5344"/>
    <w:rsid w:val="000C2195"/>
    <w:rsid w:val="000E030A"/>
    <w:rsid w:val="000E05F7"/>
    <w:rsid w:val="000F3456"/>
    <w:rsid w:val="00102414"/>
    <w:rsid w:val="00107A6A"/>
    <w:rsid w:val="00107CCA"/>
    <w:rsid w:val="00111258"/>
    <w:rsid w:val="00116EE2"/>
    <w:rsid w:val="00120426"/>
    <w:rsid w:val="00141048"/>
    <w:rsid w:val="00153F97"/>
    <w:rsid w:val="00156406"/>
    <w:rsid w:val="001567CE"/>
    <w:rsid w:val="00174723"/>
    <w:rsid w:val="001A218D"/>
    <w:rsid w:val="001B4722"/>
    <w:rsid w:val="001C35A0"/>
    <w:rsid w:val="001C5278"/>
    <w:rsid w:val="001E721D"/>
    <w:rsid w:val="0020481A"/>
    <w:rsid w:val="00224066"/>
    <w:rsid w:val="0022462D"/>
    <w:rsid w:val="002277EA"/>
    <w:rsid w:val="002304C5"/>
    <w:rsid w:val="00235AFC"/>
    <w:rsid w:val="0024339C"/>
    <w:rsid w:val="0026228A"/>
    <w:rsid w:val="002629E8"/>
    <w:rsid w:val="00270171"/>
    <w:rsid w:val="00270EA6"/>
    <w:rsid w:val="00295DFA"/>
    <w:rsid w:val="002A1D6A"/>
    <w:rsid w:val="002B42B3"/>
    <w:rsid w:val="002B7345"/>
    <w:rsid w:val="002C0B9D"/>
    <w:rsid w:val="002D5782"/>
    <w:rsid w:val="002E0A90"/>
    <w:rsid w:val="002F05D8"/>
    <w:rsid w:val="002F13BA"/>
    <w:rsid w:val="00310017"/>
    <w:rsid w:val="00311A26"/>
    <w:rsid w:val="00312846"/>
    <w:rsid w:val="00314188"/>
    <w:rsid w:val="003213BB"/>
    <w:rsid w:val="003316FF"/>
    <w:rsid w:val="00332E93"/>
    <w:rsid w:val="003421F8"/>
    <w:rsid w:val="0035443E"/>
    <w:rsid w:val="00357349"/>
    <w:rsid w:val="0039089C"/>
    <w:rsid w:val="003974D7"/>
    <w:rsid w:val="003A64D1"/>
    <w:rsid w:val="003A66B1"/>
    <w:rsid w:val="003B15CC"/>
    <w:rsid w:val="003B3299"/>
    <w:rsid w:val="003D42F4"/>
    <w:rsid w:val="003D494A"/>
    <w:rsid w:val="003E62E4"/>
    <w:rsid w:val="003F4699"/>
    <w:rsid w:val="003F6D57"/>
    <w:rsid w:val="0040048C"/>
    <w:rsid w:val="00403A13"/>
    <w:rsid w:val="00404B6D"/>
    <w:rsid w:val="004067C3"/>
    <w:rsid w:val="00411D72"/>
    <w:rsid w:val="00416203"/>
    <w:rsid w:val="00416EC8"/>
    <w:rsid w:val="00427CC6"/>
    <w:rsid w:val="00432067"/>
    <w:rsid w:val="00453053"/>
    <w:rsid w:val="00460ADA"/>
    <w:rsid w:val="004729B0"/>
    <w:rsid w:val="004741FB"/>
    <w:rsid w:val="0047699D"/>
    <w:rsid w:val="0048035B"/>
    <w:rsid w:val="004848CE"/>
    <w:rsid w:val="0048781F"/>
    <w:rsid w:val="00491373"/>
    <w:rsid w:val="00493299"/>
    <w:rsid w:val="00494EC1"/>
    <w:rsid w:val="00496FF0"/>
    <w:rsid w:val="004A14A1"/>
    <w:rsid w:val="004A1FED"/>
    <w:rsid w:val="004A63F3"/>
    <w:rsid w:val="004B1226"/>
    <w:rsid w:val="004B5A6E"/>
    <w:rsid w:val="004D3C2B"/>
    <w:rsid w:val="004D5CF2"/>
    <w:rsid w:val="004E4CFC"/>
    <w:rsid w:val="004E5FBC"/>
    <w:rsid w:val="004E629F"/>
    <w:rsid w:val="00506014"/>
    <w:rsid w:val="00524AD2"/>
    <w:rsid w:val="00526554"/>
    <w:rsid w:val="005305A1"/>
    <w:rsid w:val="00534A39"/>
    <w:rsid w:val="005354DF"/>
    <w:rsid w:val="0054756A"/>
    <w:rsid w:val="005838E7"/>
    <w:rsid w:val="005917B4"/>
    <w:rsid w:val="005B1D5D"/>
    <w:rsid w:val="005E12C5"/>
    <w:rsid w:val="005E1B6A"/>
    <w:rsid w:val="005F0B2E"/>
    <w:rsid w:val="005F2D9C"/>
    <w:rsid w:val="005F5E26"/>
    <w:rsid w:val="005F63DA"/>
    <w:rsid w:val="00607C58"/>
    <w:rsid w:val="00615096"/>
    <w:rsid w:val="00627985"/>
    <w:rsid w:val="006357E6"/>
    <w:rsid w:val="00642B92"/>
    <w:rsid w:val="00645265"/>
    <w:rsid w:val="006D1C9B"/>
    <w:rsid w:val="006D2B26"/>
    <w:rsid w:val="006D65B3"/>
    <w:rsid w:val="006F5714"/>
    <w:rsid w:val="006F6813"/>
    <w:rsid w:val="00704D95"/>
    <w:rsid w:val="0070709F"/>
    <w:rsid w:val="00711775"/>
    <w:rsid w:val="007547A3"/>
    <w:rsid w:val="00757391"/>
    <w:rsid w:val="007612D6"/>
    <w:rsid w:val="007810CC"/>
    <w:rsid w:val="007A1673"/>
    <w:rsid w:val="007A3929"/>
    <w:rsid w:val="007C03EB"/>
    <w:rsid w:val="007C12CB"/>
    <w:rsid w:val="007C39C2"/>
    <w:rsid w:val="007C5AB4"/>
    <w:rsid w:val="007C7A8C"/>
    <w:rsid w:val="007D1720"/>
    <w:rsid w:val="007D7344"/>
    <w:rsid w:val="007E054B"/>
    <w:rsid w:val="007E648C"/>
    <w:rsid w:val="007F2CEB"/>
    <w:rsid w:val="00800611"/>
    <w:rsid w:val="0082289A"/>
    <w:rsid w:val="008228F4"/>
    <w:rsid w:val="00831BE6"/>
    <w:rsid w:val="008325D3"/>
    <w:rsid w:val="00834F64"/>
    <w:rsid w:val="008356D9"/>
    <w:rsid w:val="00843789"/>
    <w:rsid w:val="00843D83"/>
    <w:rsid w:val="008500ED"/>
    <w:rsid w:val="0085075E"/>
    <w:rsid w:val="00854F45"/>
    <w:rsid w:val="00866D2F"/>
    <w:rsid w:val="008830AD"/>
    <w:rsid w:val="008846A8"/>
    <w:rsid w:val="0088486B"/>
    <w:rsid w:val="00891C78"/>
    <w:rsid w:val="008A183C"/>
    <w:rsid w:val="008B184B"/>
    <w:rsid w:val="008B2DF5"/>
    <w:rsid w:val="008B697E"/>
    <w:rsid w:val="008C13F0"/>
    <w:rsid w:val="008D2490"/>
    <w:rsid w:val="008D3260"/>
    <w:rsid w:val="008E40CA"/>
    <w:rsid w:val="008E4B45"/>
    <w:rsid w:val="008E5C3A"/>
    <w:rsid w:val="008F1A35"/>
    <w:rsid w:val="008F2EAC"/>
    <w:rsid w:val="008F5301"/>
    <w:rsid w:val="008F54AA"/>
    <w:rsid w:val="00906928"/>
    <w:rsid w:val="009130DF"/>
    <w:rsid w:val="00913906"/>
    <w:rsid w:val="00922AE7"/>
    <w:rsid w:val="009371BE"/>
    <w:rsid w:val="00940067"/>
    <w:rsid w:val="00944A0E"/>
    <w:rsid w:val="00944B83"/>
    <w:rsid w:val="0095768D"/>
    <w:rsid w:val="009660C4"/>
    <w:rsid w:val="00980245"/>
    <w:rsid w:val="009907B8"/>
    <w:rsid w:val="009B78AC"/>
    <w:rsid w:val="009C30B8"/>
    <w:rsid w:val="009C51AE"/>
    <w:rsid w:val="009D459F"/>
    <w:rsid w:val="009F0BE0"/>
    <w:rsid w:val="009F51DB"/>
    <w:rsid w:val="00A01B71"/>
    <w:rsid w:val="00A01C08"/>
    <w:rsid w:val="00A03D8E"/>
    <w:rsid w:val="00A10656"/>
    <w:rsid w:val="00A119DF"/>
    <w:rsid w:val="00A12118"/>
    <w:rsid w:val="00A21FD5"/>
    <w:rsid w:val="00A24722"/>
    <w:rsid w:val="00A24C14"/>
    <w:rsid w:val="00A35A76"/>
    <w:rsid w:val="00A41ECD"/>
    <w:rsid w:val="00A61F58"/>
    <w:rsid w:val="00A67BA6"/>
    <w:rsid w:val="00A71E98"/>
    <w:rsid w:val="00A75FA4"/>
    <w:rsid w:val="00A774AB"/>
    <w:rsid w:val="00A801B9"/>
    <w:rsid w:val="00A842F8"/>
    <w:rsid w:val="00A84E3D"/>
    <w:rsid w:val="00A87E7D"/>
    <w:rsid w:val="00AB0DE3"/>
    <w:rsid w:val="00AB268E"/>
    <w:rsid w:val="00AB35F4"/>
    <w:rsid w:val="00AD08B2"/>
    <w:rsid w:val="00AD2E21"/>
    <w:rsid w:val="00AE1F2F"/>
    <w:rsid w:val="00AE7093"/>
    <w:rsid w:val="00AF0FB4"/>
    <w:rsid w:val="00B108C7"/>
    <w:rsid w:val="00B12425"/>
    <w:rsid w:val="00B16866"/>
    <w:rsid w:val="00B272B9"/>
    <w:rsid w:val="00B47357"/>
    <w:rsid w:val="00B503DA"/>
    <w:rsid w:val="00B92A9D"/>
    <w:rsid w:val="00B965CB"/>
    <w:rsid w:val="00BB22F9"/>
    <w:rsid w:val="00BC4615"/>
    <w:rsid w:val="00BD0272"/>
    <w:rsid w:val="00BD5F8C"/>
    <w:rsid w:val="00BE0425"/>
    <w:rsid w:val="00BF010D"/>
    <w:rsid w:val="00BF2792"/>
    <w:rsid w:val="00BF2BDF"/>
    <w:rsid w:val="00C05A44"/>
    <w:rsid w:val="00C13ED1"/>
    <w:rsid w:val="00C17653"/>
    <w:rsid w:val="00C17877"/>
    <w:rsid w:val="00C2519D"/>
    <w:rsid w:val="00C262D5"/>
    <w:rsid w:val="00C32AE6"/>
    <w:rsid w:val="00C40F55"/>
    <w:rsid w:val="00C50B32"/>
    <w:rsid w:val="00C60452"/>
    <w:rsid w:val="00C618F6"/>
    <w:rsid w:val="00C62833"/>
    <w:rsid w:val="00C67984"/>
    <w:rsid w:val="00C75601"/>
    <w:rsid w:val="00C82990"/>
    <w:rsid w:val="00C86AEE"/>
    <w:rsid w:val="00CA446B"/>
    <w:rsid w:val="00CC397B"/>
    <w:rsid w:val="00CD1EA1"/>
    <w:rsid w:val="00CD49C2"/>
    <w:rsid w:val="00CE5931"/>
    <w:rsid w:val="00CE5ABE"/>
    <w:rsid w:val="00CE72B6"/>
    <w:rsid w:val="00CF753E"/>
    <w:rsid w:val="00D07A58"/>
    <w:rsid w:val="00D13403"/>
    <w:rsid w:val="00D17F29"/>
    <w:rsid w:val="00D21E7D"/>
    <w:rsid w:val="00D275D9"/>
    <w:rsid w:val="00D31A1F"/>
    <w:rsid w:val="00D32158"/>
    <w:rsid w:val="00D35E15"/>
    <w:rsid w:val="00D51576"/>
    <w:rsid w:val="00D549F8"/>
    <w:rsid w:val="00D571B3"/>
    <w:rsid w:val="00D572F6"/>
    <w:rsid w:val="00D626A5"/>
    <w:rsid w:val="00D76788"/>
    <w:rsid w:val="00D81D03"/>
    <w:rsid w:val="00D9036E"/>
    <w:rsid w:val="00D9591A"/>
    <w:rsid w:val="00D97165"/>
    <w:rsid w:val="00DA01F2"/>
    <w:rsid w:val="00DA09D1"/>
    <w:rsid w:val="00DA1564"/>
    <w:rsid w:val="00DA5345"/>
    <w:rsid w:val="00DB2C9C"/>
    <w:rsid w:val="00DB43E0"/>
    <w:rsid w:val="00DB535E"/>
    <w:rsid w:val="00DB723E"/>
    <w:rsid w:val="00DB7DAF"/>
    <w:rsid w:val="00DD29D3"/>
    <w:rsid w:val="00DD3436"/>
    <w:rsid w:val="00DD6F04"/>
    <w:rsid w:val="00DE4C61"/>
    <w:rsid w:val="00E00438"/>
    <w:rsid w:val="00E11C52"/>
    <w:rsid w:val="00E14584"/>
    <w:rsid w:val="00E161FF"/>
    <w:rsid w:val="00E2676A"/>
    <w:rsid w:val="00E33229"/>
    <w:rsid w:val="00E50D74"/>
    <w:rsid w:val="00E63530"/>
    <w:rsid w:val="00E70A29"/>
    <w:rsid w:val="00E76A06"/>
    <w:rsid w:val="00E8498D"/>
    <w:rsid w:val="00E94AE9"/>
    <w:rsid w:val="00EB7C9E"/>
    <w:rsid w:val="00EC3A2A"/>
    <w:rsid w:val="00EC60B6"/>
    <w:rsid w:val="00EC6D22"/>
    <w:rsid w:val="00ED34AE"/>
    <w:rsid w:val="00EF71EC"/>
    <w:rsid w:val="00F02DAA"/>
    <w:rsid w:val="00F068DE"/>
    <w:rsid w:val="00F10000"/>
    <w:rsid w:val="00F16992"/>
    <w:rsid w:val="00F23092"/>
    <w:rsid w:val="00F2426B"/>
    <w:rsid w:val="00F42DF3"/>
    <w:rsid w:val="00F45920"/>
    <w:rsid w:val="00F50270"/>
    <w:rsid w:val="00F87233"/>
    <w:rsid w:val="00F91F95"/>
    <w:rsid w:val="00F9390B"/>
    <w:rsid w:val="00F9627A"/>
    <w:rsid w:val="00FB0596"/>
    <w:rsid w:val="00FB376E"/>
    <w:rsid w:val="00FB6752"/>
    <w:rsid w:val="00FB6FB7"/>
    <w:rsid w:val="00FC1108"/>
    <w:rsid w:val="00FC525D"/>
    <w:rsid w:val="00FD5004"/>
    <w:rsid w:val="00FE2B5F"/>
    <w:rsid w:val="00FF3B9C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8F7D"/>
  <w15:chartTrackingRefBased/>
  <w15:docId w15:val="{F86F08A6-5847-4A35-A507-D87B59D4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6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1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D72"/>
  </w:style>
  <w:style w:type="paragraph" w:styleId="Footer">
    <w:name w:val="footer"/>
    <w:basedOn w:val="Normal"/>
    <w:link w:val="FooterChar"/>
    <w:uiPriority w:val="99"/>
    <w:unhideWhenUsed/>
    <w:rsid w:val="00411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D72"/>
  </w:style>
  <w:style w:type="paragraph" w:styleId="Revision">
    <w:name w:val="Revision"/>
    <w:hidden/>
    <w:uiPriority w:val="99"/>
    <w:semiHidden/>
    <w:rsid w:val="006357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5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7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7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7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8f4341a-4c44-4d0a-9a5c-8b1c63cf69df}" enabled="1" method="Standard" siteId="{3d3309e9-342a-4198-8e2d-01a542e3ff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3773</Words>
  <Characters>2152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Gudaitis</dc:creator>
  <cp:keywords/>
  <dc:description/>
  <cp:lastModifiedBy>Edgaras Batušan</cp:lastModifiedBy>
  <cp:revision>54</cp:revision>
  <dcterms:created xsi:type="dcterms:W3CDTF">2025-04-08T10:35:00Z</dcterms:created>
  <dcterms:modified xsi:type="dcterms:W3CDTF">2025-04-08T14:20:00Z</dcterms:modified>
</cp:coreProperties>
</file>