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0C94" w14:textId="157DCA55" w:rsidR="00A9169E" w:rsidRPr="0076656D" w:rsidRDefault="00220C72" w:rsidP="00A9169E">
      <w:pPr>
        <w:snapToGrid w:val="0"/>
        <w:spacing w:after="0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„Citus“ ekspertai: g</w:t>
      </w:r>
      <w:r w:rsidRPr="00220C72">
        <w:rPr>
          <w:rFonts w:ascii="Verdana" w:hAnsi="Verdana"/>
          <w:b/>
          <w:sz w:val="24"/>
          <w:szCs w:val="24"/>
        </w:rPr>
        <w:t>alvoji apie nuosavą būstą</w:t>
      </w:r>
      <w:r>
        <w:rPr>
          <w:rFonts w:ascii="Verdana" w:hAnsi="Verdana"/>
          <w:b/>
          <w:sz w:val="24"/>
          <w:szCs w:val="24"/>
        </w:rPr>
        <w:t xml:space="preserve"> –</w:t>
      </w:r>
      <w:r w:rsidRPr="00220C7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s</w:t>
      </w:r>
      <w:r w:rsidRPr="00220C72">
        <w:rPr>
          <w:rFonts w:ascii="Verdana" w:hAnsi="Verdana"/>
          <w:b/>
          <w:sz w:val="24"/>
          <w:szCs w:val="24"/>
        </w:rPr>
        <w:t>užinok, kokie mokesčiai gali būti svarbūs ir kodėl verta tam pasiruošti iš anksto</w:t>
      </w:r>
    </w:p>
    <w:p w14:paraId="46D0FC66" w14:textId="28411B9A" w:rsidR="00C35436" w:rsidRPr="0076656D" w:rsidRDefault="00B41BA4" w:rsidP="0017754C">
      <w:pPr>
        <w:snapToGrid w:val="0"/>
        <w:spacing w:after="0"/>
        <w:jc w:val="left"/>
        <w:rPr>
          <w:rFonts w:ascii="Verdana" w:hAnsi="Verdana" w:cs="Open Sans Light"/>
          <w:i/>
          <w:color w:val="000000" w:themeColor="text1"/>
          <w:sz w:val="16"/>
          <w:szCs w:val="16"/>
        </w:rPr>
      </w:pPr>
      <w:r w:rsidRPr="0076656D">
        <w:rPr>
          <w:rFonts w:ascii="Verdana" w:hAnsi="Verdana" w:cs="Open Sans Light"/>
          <w:i/>
          <w:color w:val="000000" w:themeColor="text1"/>
          <w:sz w:val="16"/>
          <w:szCs w:val="16"/>
        </w:rPr>
        <w:t>202</w:t>
      </w:r>
      <w:r w:rsidR="00E974DE" w:rsidRPr="0076656D">
        <w:rPr>
          <w:rFonts w:ascii="Verdana" w:hAnsi="Verdana" w:cs="Open Sans Light"/>
          <w:i/>
          <w:color w:val="000000" w:themeColor="text1"/>
          <w:sz w:val="16"/>
          <w:szCs w:val="16"/>
        </w:rPr>
        <w:t>5</w:t>
      </w:r>
      <w:r w:rsidRPr="0076656D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m. </w:t>
      </w:r>
      <w:r w:rsidR="00177C8A">
        <w:rPr>
          <w:rFonts w:ascii="Verdana" w:hAnsi="Verdana" w:cs="Open Sans Light"/>
          <w:i/>
          <w:color w:val="000000" w:themeColor="text1"/>
          <w:sz w:val="16"/>
          <w:szCs w:val="16"/>
        </w:rPr>
        <w:t>gegužės</w:t>
      </w:r>
      <w:r w:rsidRPr="0076656D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</w:t>
      </w:r>
      <w:r w:rsidR="00220C72">
        <w:rPr>
          <w:rFonts w:ascii="Verdana" w:hAnsi="Verdana" w:cs="Open Sans Light"/>
          <w:i/>
          <w:color w:val="000000" w:themeColor="text1"/>
          <w:sz w:val="16"/>
          <w:szCs w:val="16"/>
        </w:rPr>
        <w:t>15</w:t>
      </w:r>
      <w:r w:rsidRPr="0076656D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d.</w:t>
      </w:r>
    </w:p>
    <w:p w14:paraId="5AB90836" w14:textId="77777777" w:rsidR="0012235E" w:rsidRPr="0076656D" w:rsidRDefault="0012235E" w:rsidP="0017754C">
      <w:pPr>
        <w:snapToGrid w:val="0"/>
        <w:spacing w:after="0"/>
        <w:jc w:val="left"/>
        <w:rPr>
          <w:rFonts w:ascii="Verdana" w:hAnsi="Verdana" w:cs="Open Sans Light"/>
          <w:i/>
          <w:color w:val="000000" w:themeColor="text1"/>
          <w:sz w:val="16"/>
          <w:szCs w:val="16"/>
        </w:rPr>
      </w:pPr>
    </w:p>
    <w:p w14:paraId="5751FBD0" w14:textId="26129B97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 xml:space="preserve">Būsto įsigijimas – vienas svarbiausių gyvenimo sprendimų. Nors viešojoje erdvėje nemažai diskutuojama apie galimus naujus nekilnojamojo turto (NT) mokesčius, svarbu žinoti, kad daugelis NT susijusių prievolių jau egzistuoja. </w:t>
      </w:r>
      <w:r w:rsidR="00323B6B">
        <w:rPr>
          <w:rFonts w:ascii="Verdana" w:hAnsi="Verdana"/>
          <w:b/>
          <w:bCs/>
          <w:sz w:val="18"/>
          <w:szCs w:val="18"/>
        </w:rPr>
        <w:t>Jų žinojimas</w:t>
      </w:r>
      <w:r w:rsidRPr="00220C72">
        <w:rPr>
          <w:rFonts w:ascii="Verdana" w:hAnsi="Verdana"/>
          <w:b/>
          <w:bCs/>
          <w:sz w:val="18"/>
          <w:szCs w:val="18"/>
        </w:rPr>
        <w:t xml:space="preserve"> </w:t>
      </w:r>
      <w:r w:rsidR="00323B6B">
        <w:rPr>
          <w:rFonts w:ascii="Verdana" w:hAnsi="Verdana"/>
          <w:b/>
          <w:bCs/>
          <w:sz w:val="18"/>
          <w:szCs w:val="18"/>
        </w:rPr>
        <w:t xml:space="preserve">– </w:t>
      </w:r>
      <w:r w:rsidRPr="00220C72">
        <w:rPr>
          <w:rFonts w:ascii="Verdana" w:hAnsi="Verdana"/>
          <w:b/>
          <w:bCs/>
          <w:sz w:val="18"/>
          <w:szCs w:val="18"/>
        </w:rPr>
        <w:t>galimybė sąmoningai pasiruošti ir užtikrintai veikti.</w:t>
      </w:r>
    </w:p>
    <w:p w14:paraId="7F363406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 xml:space="preserve">„Nekilnojamojo turto pirkimas ar dovanojimas, paveldėjimas ar kitas perleidimo sandoris – tai ne tik teisiniai veiksmai, bet ir sprendimai, turintys finansinį foną. Žinant, kokios prievolės gali kilti, šį procesą galima paversti sklandžiu ir strategiškai suplanuotu“, – sako Ieva </w:t>
      </w:r>
      <w:proofErr w:type="spellStart"/>
      <w:r w:rsidRPr="00220C72">
        <w:rPr>
          <w:rFonts w:ascii="Verdana" w:hAnsi="Verdana"/>
          <w:sz w:val="18"/>
          <w:szCs w:val="18"/>
        </w:rPr>
        <w:t>Pukelienė</w:t>
      </w:r>
      <w:proofErr w:type="spellEnd"/>
      <w:r w:rsidRPr="00220C72">
        <w:rPr>
          <w:rFonts w:ascii="Verdana" w:hAnsi="Verdana"/>
          <w:sz w:val="18"/>
          <w:szCs w:val="18"/>
        </w:rPr>
        <w:t>, kūrybiškų NT projektų ir vietokūros kompanijos „Citus“ teisininkė.</w:t>
      </w:r>
    </w:p>
    <w:p w14:paraId="5D76C5BC" w14:textId="32CDF1F4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>Perki NT? Įvertink ne tik kainą</w:t>
      </w:r>
      <w:r w:rsidR="00323B6B">
        <w:rPr>
          <w:rFonts w:ascii="Verdana" w:hAnsi="Verdana"/>
          <w:b/>
          <w:bCs/>
          <w:sz w:val="18"/>
          <w:szCs w:val="18"/>
        </w:rPr>
        <w:t xml:space="preserve"> skelbime</w:t>
      </w:r>
    </w:p>
    <w:p w14:paraId="308CAB5E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Daugelis pirkėjų žino – būsto kaina yra esminis faktorius, tačiau šalia jos egzistuoja ir papildomos išlaidos, kurias svarbu žinoti iš anksto. Tai – sandorio patvirtinimo, Registrų centro (RC) darbų, vertinimo, draudimo, hipotekos patvirtinimo ar kredito sutarties sudarymo mokesčiai.</w:t>
      </w:r>
    </w:p>
    <w:p w14:paraId="1F970879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Pagrindiniai mokesčiai perkant NT:</w:t>
      </w:r>
    </w:p>
    <w:p w14:paraId="002CBCD6" w14:textId="77777777" w:rsidR="00220C72" w:rsidRPr="00220C72" w:rsidRDefault="00220C72" w:rsidP="00220C72">
      <w:pPr>
        <w:numPr>
          <w:ilvl w:val="0"/>
          <w:numId w:val="30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Notaro mokestis – 0,37 proc. nuo sandorio vertės (nuo 76 Eur iki 5 000 Eur + PVM);</w:t>
      </w:r>
    </w:p>
    <w:p w14:paraId="4F551E08" w14:textId="73BB28BD" w:rsidR="00220C72" w:rsidRPr="00220C72" w:rsidRDefault="005D1A0C" w:rsidP="00220C72">
      <w:pPr>
        <w:numPr>
          <w:ilvl w:val="0"/>
          <w:numId w:val="30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5D1A0C">
        <w:rPr>
          <w:rFonts w:ascii="Verdana" w:hAnsi="Verdana"/>
          <w:sz w:val="18"/>
          <w:szCs w:val="18"/>
        </w:rPr>
        <w:t>Registrų centro įkainiai – už nuosavybės</w:t>
      </w:r>
      <w:r>
        <w:rPr>
          <w:rFonts w:ascii="Verdana" w:hAnsi="Verdana"/>
          <w:sz w:val="18"/>
          <w:szCs w:val="18"/>
        </w:rPr>
        <w:t>,</w:t>
      </w:r>
      <w:r w:rsidRPr="005D1A0C">
        <w:rPr>
          <w:rFonts w:ascii="Verdana" w:hAnsi="Verdana"/>
          <w:sz w:val="18"/>
          <w:szCs w:val="18"/>
        </w:rPr>
        <w:t xml:space="preserve"> juridini</w:t>
      </w:r>
      <w:r>
        <w:rPr>
          <w:rFonts w:ascii="Verdana" w:hAnsi="Verdana"/>
          <w:sz w:val="18"/>
          <w:szCs w:val="18"/>
        </w:rPr>
        <w:t>ų</w:t>
      </w:r>
      <w:r w:rsidRPr="005D1A0C">
        <w:rPr>
          <w:rFonts w:ascii="Verdana" w:hAnsi="Verdana"/>
          <w:sz w:val="18"/>
          <w:szCs w:val="18"/>
        </w:rPr>
        <w:t xml:space="preserve"> faktų</w:t>
      </w:r>
      <w:r>
        <w:rPr>
          <w:rFonts w:ascii="Verdana" w:hAnsi="Verdana"/>
          <w:sz w:val="18"/>
          <w:szCs w:val="18"/>
        </w:rPr>
        <w:t>,</w:t>
      </w:r>
      <w:r w:rsidRPr="005D1A0C">
        <w:rPr>
          <w:rFonts w:ascii="Verdana" w:hAnsi="Verdana"/>
          <w:sz w:val="18"/>
          <w:szCs w:val="18"/>
        </w:rPr>
        <w:t xml:space="preserve"> žymų registravimą (fiksuoti, nesusiję su turto verte, bet priklauso nuo </w:t>
      </w:r>
      <w:r>
        <w:rPr>
          <w:rFonts w:ascii="Verdana" w:hAnsi="Verdana"/>
          <w:sz w:val="18"/>
          <w:szCs w:val="18"/>
        </w:rPr>
        <w:t>skubumo – p</w:t>
      </w:r>
      <w:r w:rsidRPr="005D1A0C">
        <w:rPr>
          <w:rFonts w:ascii="Verdana" w:hAnsi="Verdana"/>
          <w:sz w:val="18"/>
          <w:szCs w:val="18"/>
        </w:rPr>
        <w:t>vz.</w:t>
      </w:r>
      <w:r>
        <w:rPr>
          <w:rFonts w:ascii="Verdana" w:hAnsi="Verdana"/>
          <w:sz w:val="18"/>
          <w:szCs w:val="18"/>
        </w:rPr>
        <w:t>,</w:t>
      </w:r>
      <w:r w:rsidRPr="005D1A0C">
        <w:rPr>
          <w:rFonts w:ascii="Verdana" w:hAnsi="Verdana"/>
          <w:sz w:val="18"/>
          <w:szCs w:val="18"/>
        </w:rPr>
        <w:t xml:space="preserve"> nuosavybės teisės įregistravimas per 1 d</w:t>
      </w:r>
      <w:r>
        <w:rPr>
          <w:rFonts w:ascii="Verdana" w:hAnsi="Verdana"/>
          <w:sz w:val="18"/>
          <w:szCs w:val="18"/>
        </w:rPr>
        <w:t xml:space="preserve">arbo </w:t>
      </w:r>
      <w:r w:rsidRPr="005D1A0C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ienas</w:t>
      </w:r>
      <w:r w:rsidRPr="005D1A0C">
        <w:rPr>
          <w:rFonts w:ascii="Verdana" w:hAnsi="Verdana"/>
          <w:sz w:val="18"/>
          <w:szCs w:val="18"/>
        </w:rPr>
        <w:t xml:space="preserve"> kainuoja 34,38 Eur, per </w:t>
      </w:r>
      <w:r>
        <w:rPr>
          <w:rFonts w:ascii="Verdana" w:hAnsi="Verdana"/>
          <w:sz w:val="18"/>
          <w:szCs w:val="18"/>
        </w:rPr>
        <w:t xml:space="preserve">3 d. d. – 22,35 Eur, per </w:t>
      </w:r>
      <w:r w:rsidRPr="005D1A0C">
        <w:rPr>
          <w:rFonts w:ascii="Verdana" w:hAnsi="Verdana"/>
          <w:sz w:val="18"/>
          <w:szCs w:val="18"/>
        </w:rPr>
        <w:t xml:space="preserve">5 </w:t>
      </w:r>
      <w:r>
        <w:rPr>
          <w:rFonts w:ascii="Verdana" w:hAnsi="Verdana"/>
          <w:sz w:val="18"/>
          <w:szCs w:val="18"/>
        </w:rPr>
        <w:t xml:space="preserve">d. d. </w:t>
      </w:r>
      <w:r w:rsidRPr="005D1A0C">
        <w:rPr>
          <w:rFonts w:ascii="Verdana" w:hAnsi="Verdana"/>
          <w:sz w:val="18"/>
          <w:szCs w:val="18"/>
        </w:rPr>
        <w:t>– 17,19 Eur);</w:t>
      </w:r>
    </w:p>
    <w:p w14:paraId="0F6DECE8" w14:textId="4F8A92A4" w:rsidR="00220C72" w:rsidRPr="00220C72" w:rsidRDefault="00220C72" w:rsidP="00220C72">
      <w:pPr>
        <w:numPr>
          <w:ilvl w:val="0"/>
          <w:numId w:val="30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 xml:space="preserve">Hipotekos sutartis (reikalinga, jei būstas perkamas su paskola </w:t>
      </w:r>
      <w:r w:rsidR="005D1A0C">
        <w:rPr>
          <w:rFonts w:ascii="Verdana" w:hAnsi="Verdana"/>
          <w:sz w:val="18"/>
          <w:szCs w:val="18"/>
        </w:rPr>
        <w:t>ar</w:t>
      </w:r>
      <w:r w:rsidRPr="00220C72">
        <w:rPr>
          <w:rFonts w:ascii="Verdana" w:hAnsi="Verdana"/>
          <w:sz w:val="18"/>
          <w:szCs w:val="18"/>
        </w:rPr>
        <w:t xml:space="preserve"> kreditu) – iki 360 Eur notarui + 8,60 Eur RC;</w:t>
      </w:r>
    </w:p>
    <w:p w14:paraId="07263389" w14:textId="77777777" w:rsidR="00220C72" w:rsidRPr="00220C72" w:rsidRDefault="00220C72" w:rsidP="00220C72">
      <w:pPr>
        <w:numPr>
          <w:ilvl w:val="0"/>
          <w:numId w:val="30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Kredito administravimo mokestis – dažnai 0,4 proc. nuo kredito sumos;</w:t>
      </w:r>
    </w:p>
    <w:p w14:paraId="5F93CB89" w14:textId="77777777" w:rsidR="00220C72" w:rsidRPr="00220C72" w:rsidRDefault="00220C72" w:rsidP="00220C72">
      <w:pPr>
        <w:numPr>
          <w:ilvl w:val="0"/>
          <w:numId w:val="30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Turto vertinimas – nuo 100 Eur (priklauso nuo objekto tipo, vietos);</w:t>
      </w:r>
    </w:p>
    <w:p w14:paraId="43F42C86" w14:textId="77777777" w:rsidR="00220C72" w:rsidRPr="00220C72" w:rsidRDefault="00220C72" w:rsidP="00220C72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Draudimas – būsto draudimas dažniausiai privalomas, jei perkama su paskola.</w:t>
      </w:r>
    </w:p>
    <w:p w14:paraId="095CDDC9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 xml:space="preserve">„Visa tai – ne paslėptos išlaidos, o skaidrios procedūros dalis. Pasiruošus iš anksto, šios sumos leidžia apskaičiuoti realų biudžetą ir užtikrina aiškų įsigijimo procesą“, – pažymi I. </w:t>
      </w:r>
      <w:proofErr w:type="spellStart"/>
      <w:r w:rsidRPr="00220C72">
        <w:rPr>
          <w:rFonts w:ascii="Verdana" w:hAnsi="Verdana"/>
          <w:sz w:val="18"/>
          <w:szCs w:val="18"/>
        </w:rPr>
        <w:t>Pukelienė</w:t>
      </w:r>
      <w:proofErr w:type="spellEnd"/>
      <w:r w:rsidRPr="00220C72">
        <w:rPr>
          <w:rFonts w:ascii="Verdana" w:hAnsi="Verdana"/>
          <w:sz w:val="18"/>
          <w:szCs w:val="18"/>
        </w:rPr>
        <w:t>.</w:t>
      </w:r>
    </w:p>
    <w:p w14:paraId="4AB517F9" w14:textId="77777777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>Paveldėjai ar gavai būstą dovanų? Svarbu, kas dovanojo</w:t>
      </w:r>
    </w:p>
    <w:p w14:paraId="20658EE4" w14:textId="45146C93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Įgijus NT dovanojimo ar paveldėjimo būdu, NT gali neatitikti naujojo savininko poreikių, tad savininkai nusprendžia tokį turtą pasikeisti (pvz.</w:t>
      </w:r>
      <w:r w:rsidR="00323B6B">
        <w:rPr>
          <w:rFonts w:ascii="Verdana" w:hAnsi="Verdana"/>
          <w:sz w:val="18"/>
          <w:szCs w:val="18"/>
        </w:rPr>
        <w:t>,</w:t>
      </w:r>
      <w:r w:rsidRPr="00220C72">
        <w:rPr>
          <w:rFonts w:ascii="Verdana" w:hAnsi="Verdana"/>
          <w:sz w:val="18"/>
          <w:szCs w:val="18"/>
        </w:rPr>
        <w:t xml:space="preserve"> parduoti ir įsigyti didesnį </w:t>
      </w:r>
      <w:r w:rsidR="005D1A0C">
        <w:rPr>
          <w:rFonts w:ascii="Verdana" w:hAnsi="Verdana"/>
          <w:sz w:val="18"/>
          <w:szCs w:val="18"/>
        </w:rPr>
        <w:t>ar</w:t>
      </w:r>
      <w:r w:rsidRPr="00220C72">
        <w:rPr>
          <w:rFonts w:ascii="Verdana" w:hAnsi="Verdana"/>
          <w:sz w:val="18"/>
          <w:szCs w:val="18"/>
        </w:rPr>
        <w:t xml:space="preserve"> mažesnį). Šiais atvejais gali atsirasti mokestinės prievolės.</w:t>
      </w:r>
    </w:p>
    <w:p w14:paraId="732775BA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Kai dovanotojas – ne artimas giminaitis, taikomas gyventojų pajamų mokestis (GPM):</w:t>
      </w:r>
    </w:p>
    <w:p w14:paraId="4BDC438D" w14:textId="1DA7C382" w:rsidR="00220C72" w:rsidRPr="00220C72" w:rsidRDefault="00220C72" w:rsidP="00220C72">
      <w:pPr>
        <w:numPr>
          <w:ilvl w:val="0"/>
          <w:numId w:val="31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Jei dovanos vertė viršija 2 500 Eur</w:t>
      </w:r>
      <w:r w:rsidR="00B03B56">
        <w:rPr>
          <w:rFonts w:ascii="Verdana" w:hAnsi="Verdana"/>
          <w:sz w:val="18"/>
          <w:szCs w:val="18"/>
        </w:rPr>
        <w:t xml:space="preserve">, bet neviršija </w:t>
      </w:r>
      <w:r w:rsidR="005D1A0C" w:rsidRPr="005D1A0C">
        <w:rPr>
          <w:rFonts w:ascii="Verdana" w:hAnsi="Verdana"/>
          <w:sz w:val="18"/>
          <w:szCs w:val="18"/>
        </w:rPr>
        <w:t xml:space="preserve">120 </w:t>
      </w:r>
      <w:r w:rsidR="005D1A0C" w:rsidRPr="00220C72">
        <w:rPr>
          <w:rFonts w:ascii="Verdana" w:hAnsi="Verdana"/>
          <w:sz w:val="18"/>
          <w:szCs w:val="18"/>
        </w:rPr>
        <w:t>vidutinių šalies darbo užmokesči</w:t>
      </w:r>
      <w:r w:rsidR="00B03B56">
        <w:rPr>
          <w:rFonts w:ascii="Verdana" w:hAnsi="Verdana"/>
          <w:sz w:val="18"/>
          <w:szCs w:val="18"/>
        </w:rPr>
        <w:t>o</w:t>
      </w:r>
      <w:r w:rsidR="005D1A0C" w:rsidRPr="00220C72">
        <w:rPr>
          <w:rFonts w:ascii="Verdana" w:hAnsi="Verdana"/>
          <w:sz w:val="18"/>
          <w:szCs w:val="18"/>
        </w:rPr>
        <w:t xml:space="preserve"> </w:t>
      </w:r>
      <w:r w:rsidR="00B03B56">
        <w:rPr>
          <w:rFonts w:ascii="Verdana" w:hAnsi="Verdana"/>
          <w:sz w:val="18"/>
          <w:szCs w:val="18"/>
        </w:rPr>
        <w:t xml:space="preserve">(VDU) </w:t>
      </w:r>
      <w:r w:rsidR="005D1A0C" w:rsidRPr="00220C72">
        <w:rPr>
          <w:rFonts w:ascii="Verdana" w:hAnsi="Verdana"/>
          <w:sz w:val="18"/>
          <w:szCs w:val="18"/>
        </w:rPr>
        <w:t>dydži</w:t>
      </w:r>
      <w:r w:rsidR="00B03B56">
        <w:rPr>
          <w:rFonts w:ascii="Verdana" w:hAnsi="Verdana"/>
          <w:sz w:val="18"/>
          <w:szCs w:val="18"/>
        </w:rPr>
        <w:t>ų</w:t>
      </w:r>
      <w:r w:rsidR="005D1A0C" w:rsidRPr="00220C72">
        <w:rPr>
          <w:rFonts w:ascii="Verdana" w:hAnsi="Verdana"/>
          <w:sz w:val="18"/>
          <w:szCs w:val="18"/>
        </w:rPr>
        <w:t xml:space="preserve"> </w:t>
      </w:r>
      <w:r w:rsidR="005D1A0C" w:rsidRPr="005D1A0C">
        <w:rPr>
          <w:rFonts w:ascii="Verdana" w:hAnsi="Verdana"/>
          <w:sz w:val="18"/>
          <w:szCs w:val="18"/>
        </w:rPr>
        <w:t>sum</w:t>
      </w:r>
      <w:r w:rsidR="00B03B56">
        <w:rPr>
          <w:rFonts w:ascii="Verdana" w:hAnsi="Verdana"/>
          <w:sz w:val="18"/>
          <w:szCs w:val="18"/>
        </w:rPr>
        <w:t>os</w:t>
      </w:r>
      <w:r w:rsidR="005D1A0C" w:rsidRPr="005D1A0C">
        <w:rPr>
          <w:rFonts w:ascii="Verdana" w:hAnsi="Verdana"/>
          <w:sz w:val="18"/>
          <w:szCs w:val="18"/>
        </w:rPr>
        <w:t xml:space="preserve">, </w:t>
      </w:r>
      <w:r w:rsidRPr="00220C72">
        <w:rPr>
          <w:rFonts w:ascii="Verdana" w:hAnsi="Verdana"/>
          <w:sz w:val="18"/>
          <w:szCs w:val="18"/>
        </w:rPr>
        <w:t xml:space="preserve">taikomas </w:t>
      </w:r>
      <w:r w:rsidR="00B03B56">
        <w:rPr>
          <w:rFonts w:ascii="Verdana" w:hAnsi="Verdana"/>
          <w:sz w:val="18"/>
          <w:szCs w:val="18"/>
        </w:rPr>
        <w:t>15</w:t>
      </w:r>
      <w:r w:rsidRPr="00220C72">
        <w:rPr>
          <w:rFonts w:ascii="Verdana" w:hAnsi="Verdana"/>
          <w:sz w:val="18"/>
          <w:szCs w:val="18"/>
        </w:rPr>
        <w:t xml:space="preserve"> GPM</w:t>
      </w:r>
      <w:r w:rsidR="00B03B56">
        <w:rPr>
          <w:rFonts w:ascii="Verdana" w:hAnsi="Verdana"/>
          <w:sz w:val="18"/>
          <w:szCs w:val="18"/>
        </w:rPr>
        <w:t xml:space="preserve"> tarifas; jei viršija 120 VDU, taikomas 20 proc. tarifas</w:t>
      </w:r>
      <w:r w:rsidR="00323B6B" w:rsidRPr="005D1A0C">
        <w:rPr>
          <w:rFonts w:ascii="Verdana" w:hAnsi="Verdana"/>
          <w:sz w:val="18"/>
          <w:szCs w:val="18"/>
        </w:rPr>
        <w:t>;</w:t>
      </w:r>
    </w:p>
    <w:p w14:paraId="5C18501D" w14:textId="77777777" w:rsidR="00220C72" w:rsidRPr="00220C72" w:rsidRDefault="00220C72" w:rsidP="00220C72">
      <w:pPr>
        <w:numPr>
          <w:ilvl w:val="0"/>
          <w:numId w:val="31"/>
        </w:num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Tas pats galioja ir piniginėms dovanoms, kurios vėliau būna panaudotos NT įsigijimui kaip pradinis įnašas.</w:t>
      </w:r>
    </w:p>
    <w:p w14:paraId="2BC644D9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Paveldėjimo atveju:</w:t>
      </w:r>
    </w:p>
    <w:p w14:paraId="704C0A47" w14:textId="2AA054D4" w:rsidR="00220C72" w:rsidRPr="00220C72" w:rsidRDefault="00220C72" w:rsidP="00220C72">
      <w:pPr>
        <w:numPr>
          <w:ilvl w:val="0"/>
          <w:numId w:val="32"/>
        </w:numPr>
        <w:spacing w:after="0"/>
        <w:ind w:left="714" w:hanging="357"/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Jei paveldimo turto apmokestinamoji vertė iki 150 000 Eur – 5 proc. paveldimo turto mokestis</w:t>
      </w:r>
      <w:r w:rsidR="00323B6B">
        <w:rPr>
          <w:rFonts w:ascii="Verdana" w:hAnsi="Verdana"/>
          <w:sz w:val="18"/>
          <w:szCs w:val="18"/>
        </w:rPr>
        <w:t>;</w:t>
      </w:r>
    </w:p>
    <w:p w14:paraId="303330A4" w14:textId="77777777" w:rsidR="00220C72" w:rsidRPr="00220C72" w:rsidRDefault="00220C72" w:rsidP="00220C72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Jei vertė viršija šią ribą – 10 proc. paveldimo turto mokestis.</w:t>
      </w:r>
    </w:p>
    <w:p w14:paraId="36DDDE2B" w14:textId="022E9B88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Tačiau egzistuoja svarbios išimtys, pavyzdžiui</w:t>
      </w:r>
      <w:r w:rsidR="00323B6B">
        <w:rPr>
          <w:rFonts w:ascii="Verdana" w:hAnsi="Verdana"/>
          <w:sz w:val="18"/>
          <w:szCs w:val="18"/>
        </w:rPr>
        <w:t>,</w:t>
      </w:r>
      <w:r w:rsidRPr="00220C72">
        <w:rPr>
          <w:rFonts w:ascii="Verdana" w:hAnsi="Verdana"/>
          <w:sz w:val="18"/>
          <w:szCs w:val="18"/>
        </w:rPr>
        <w:t xml:space="preserve"> GPM mokestis netaikomas, jei NT ar piniginės lėšos dovanojamas artimiausiems šeimos nariams</w:t>
      </w:r>
      <w:r w:rsidR="00323B6B">
        <w:rPr>
          <w:rFonts w:ascii="Verdana" w:hAnsi="Verdana"/>
          <w:sz w:val="18"/>
          <w:szCs w:val="18"/>
        </w:rPr>
        <w:t>:</w:t>
      </w:r>
      <w:r w:rsidRPr="00220C72">
        <w:rPr>
          <w:rFonts w:ascii="Verdana" w:hAnsi="Verdana"/>
          <w:sz w:val="18"/>
          <w:szCs w:val="18"/>
        </w:rPr>
        <w:t xml:space="preserve"> sutuoktiniui, vaikams (įvaikiams), tėvams (įtėviams), broliams, seserims, seneliams</w:t>
      </w:r>
      <w:r w:rsidR="00323B6B">
        <w:rPr>
          <w:rFonts w:ascii="Verdana" w:hAnsi="Verdana"/>
          <w:sz w:val="18"/>
          <w:szCs w:val="18"/>
        </w:rPr>
        <w:t xml:space="preserve"> ar</w:t>
      </w:r>
      <w:r w:rsidRPr="00220C72">
        <w:rPr>
          <w:rFonts w:ascii="Verdana" w:hAnsi="Verdana"/>
          <w:sz w:val="18"/>
          <w:szCs w:val="18"/>
        </w:rPr>
        <w:t xml:space="preserve"> vaikaičiams.</w:t>
      </w:r>
    </w:p>
    <w:p w14:paraId="78A0E23F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„Ši tvarka sukurta tam, kad šeimos galėtų planuoti ilgalaikį turto perdavimą be papildomos naštos. Visgi, jei turtas keliauja platesniu šeimos ratu – verta iš anksto pasitikrinti galimus mokesčius“, – sako „Citus“ teisininkė.</w:t>
      </w:r>
    </w:p>
    <w:p w14:paraId="4F1487CB" w14:textId="66A74D42" w:rsidR="00220C72" w:rsidRPr="00220C72" w:rsidRDefault="00323B6B" w:rsidP="00220C72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Jau t</w:t>
      </w:r>
      <w:r w:rsidR="00220C72" w:rsidRPr="00220C72">
        <w:rPr>
          <w:rFonts w:ascii="Verdana" w:hAnsi="Verdana"/>
          <w:b/>
          <w:bCs/>
          <w:sz w:val="18"/>
          <w:szCs w:val="18"/>
        </w:rPr>
        <w:t>urite būstą? Tai irgi atsakomybė</w:t>
      </w:r>
    </w:p>
    <w:p w14:paraId="61AA48CA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NT turėjimas taip pat susijęs su kasmetinėmis prievolėmis. Jei bendroji viso asmens turimo NT mokestinė vertė viršija 150 000 Eur, taikomas metinis NT mokestis. Jį nustato savivaldybės.</w:t>
      </w:r>
    </w:p>
    <w:p w14:paraId="5CB7699D" w14:textId="0E3AA8B3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Pagrindiniai tarifai didžiuosiuose miestuose</w:t>
      </w:r>
      <w:r w:rsidR="00323B6B">
        <w:rPr>
          <w:rFonts w:ascii="Verdana" w:hAnsi="Verdana"/>
          <w:sz w:val="18"/>
          <w:szCs w:val="18"/>
        </w:rPr>
        <w:t>, taikomi šiuo metu</w:t>
      </w:r>
      <w:r w:rsidRPr="00220C72">
        <w:rPr>
          <w:rFonts w:ascii="Verdana" w:hAnsi="Verdan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146"/>
      </w:tblGrid>
      <w:tr w:rsidR="00220C72" w:rsidRPr="00220C72" w14:paraId="1F34F4C9" w14:textId="77777777" w:rsidTr="005E65C3">
        <w:tc>
          <w:tcPr>
            <w:tcW w:w="0" w:type="auto"/>
            <w:hideMark/>
          </w:tcPr>
          <w:p w14:paraId="035B8C06" w14:textId="77777777" w:rsidR="00220C72" w:rsidRPr="00220C72" w:rsidRDefault="00220C72" w:rsidP="00220C7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0C72">
              <w:rPr>
                <w:rFonts w:ascii="Verdana" w:hAnsi="Verdana"/>
                <w:b/>
                <w:bCs/>
                <w:sz w:val="18"/>
                <w:szCs w:val="18"/>
              </w:rPr>
              <w:t>Miestas</w:t>
            </w:r>
          </w:p>
        </w:tc>
        <w:tc>
          <w:tcPr>
            <w:tcW w:w="0" w:type="auto"/>
            <w:hideMark/>
          </w:tcPr>
          <w:p w14:paraId="6A176971" w14:textId="77777777" w:rsidR="00220C72" w:rsidRPr="00220C72" w:rsidRDefault="00220C72" w:rsidP="00220C7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0C72">
              <w:rPr>
                <w:rFonts w:ascii="Verdana" w:hAnsi="Verdana"/>
                <w:b/>
                <w:bCs/>
                <w:sz w:val="18"/>
                <w:szCs w:val="18"/>
              </w:rPr>
              <w:t>NT mokesčio tarifas, skaičiuojamas nuo mokestinės vertės</w:t>
            </w:r>
          </w:p>
        </w:tc>
      </w:tr>
      <w:tr w:rsidR="00220C72" w:rsidRPr="00220C72" w14:paraId="3E68D3B5" w14:textId="77777777" w:rsidTr="005E65C3">
        <w:trPr>
          <w:trHeight w:val="150"/>
        </w:trPr>
        <w:tc>
          <w:tcPr>
            <w:tcW w:w="0" w:type="auto"/>
            <w:hideMark/>
          </w:tcPr>
          <w:p w14:paraId="4D9F899A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Vilnius</w:t>
            </w:r>
          </w:p>
        </w:tc>
        <w:tc>
          <w:tcPr>
            <w:tcW w:w="0" w:type="auto"/>
            <w:hideMark/>
          </w:tcPr>
          <w:p w14:paraId="7C6EB6D4" w14:textId="77C064BF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0,7-3,0 </w:t>
            </w:r>
            <w:r w:rsidR="007F2EA4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(standartinis tarifas – 1,0 proc.)</w:t>
            </w:r>
          </w:p>
        </w:tc>
      </w:tr>
      <w:tr w:rsidR="00220C72" w:rsidRPr="00220C72" w14:paraId="3C3091B9" w14:textId="77777777" w:rsidTr="005E65C3">
        <w:tc>
          <w:tcPr>
            <w:tcW w:w="0" w:type="auto"/>
            <w:hideMark/>
          </w:tcPr>
          <w:p w14:paraId="568EA7C9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Kaunas</w:t>
            </w:r>
          </w:p>
        </w:tc>
        <w:tc>
          <w:tcPr>
            <w:tcW w:w="0" w:type="auto"/>
            <w:hideMark/>
          </w:tcPr>
          <w:p w14:paraId="39C7AC7A" w14:textId="63F376AC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0,7-3,0 </w:t>
            </w:r>
            <w:r w:rsidR="007F2EA4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(standartinis tarifas – 1,0 proc.)</w:t>
            </w:r>
          </w:p>
        </w:tc>
      </w:tr>
      <w:tr w:rsidR="00220C72" w:rsidRPr="00220C72" w14:paraId="22FF58BE" w14:textId="77777777" w:rsidTr="005E65C3">
        <w:tc>
          <w:tcPr>
            <w:tcW w:w="0" w:type="auto"/>
            <w:hideMark/>
          </w:tcPr>
          <w:p w14:paraId="2E533209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Klaipėda</w:t>
            </w:r>
          </w:p>
        </w:tc>
        <w:tc>
          <w:tcPr>
            <w:tcW w:w="0" w:type="auto"/>
            <w:hideMark/>
          </w:tcPr>
          <w:p w14:paraId="48B35637" w14:textId="68F3B410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0,5-3,0 </w:t>
            </w:r>
            <w:r w:rsidR="007F2EA4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(standartinis tarifas – 0,8 proc.)</w:t>
            </w:r>
          </w:p>
        </w:tc>
      </w:tr>
      <w:tr w:rsidR="00220C72" w:rsidRPr="00220C72" w14:paraId="14EC309D" w14:textId="77777777" w:rsidTr="005E65C3">
        <w:tc>
          <w:tcPr>
            <w:tcW w:w="0" w:type="auto"/>
          </w:tcPr>
          <w:p w14:paraId="38FC45EB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Neringa </w:t>
            </w:r>
          </w:p>
        </w:tc>
        <w:tc>
          <w:tcPr>
            <w:tcW w:w="0" w:type="auto"/>
          </w:tcPr>
          <w:p w14:paraId="41131A7E" w14:textId="6685C311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0,5-3,0 </w:t>
            </w:r>
            <w:r w:rsidR="007F2EA4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(standartinis tarifas – 0,5 proc.)</w:t>
            </w:r>
          </w:p>
        </w:tc>
      </w:tr>
    </w:tbl>
    <w:p w14:paraId="4411AC89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</w:p>
    <w:p w14:paraId="7514D1C4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lastRenderedPageBreak/>
        <w:t>Taip pat taikomas ir žemės mokestis, jei kartu su patalpa ar pastatu priklauso ir žemės sklypas (jo dalis). Tarifas svyruoja nuo 0,01 iki 4 proc., priklausomai nuo savivaldybės.</w:t>
      </w:r>
    </w:p>
    <w:p w14:paraId="3AC04FC7" w14:textId="3B4479BA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 xml:space="preserve">„Statant naują būstą ar rekonstruojant seną, kai reikalinga infrastruktūra (pvz., kelių privažiavimas, inžineriniai tinklai), gali būti privaloma ir infrastruktūros plėtros įmoka. Vilniuje, individualiems gyvenamiesiems namams ji siekia 15 Eur/kv. m. Turto turėjimas ir vystymas – tai ne tik teisė, bet ir pareigos. Tačiau žinant struktūrą, visi šie procesai tampa nuspėjami ir lengviau suvaldomi“, – </w:t>
      </w:r>
      <w:r w:rsidR="00323B6B">
        <w:rPr>
          <w:rFonts w:ascii="Verdana" w:hAnsi="Verdana"/>
          <w:sz w:val="18"/>
          <w:szCs w:val="18"/>
        </w:rPr>
        <w:t>akcentuoja</w:t>
      </w:r>
      <w:r w:rsidRPr="00220C72">
        <w:rPr>
          <w:rFonts w:ascii="Verdana" w:hAnsi="Verdana"/>
          <w:sz w:val="18"/>
          <w:szCs w:val="18"/>
        </w:rPr>
        <w:t xml:space="preserve"> „Citus“ ekspertė.</w:t>
      </w:r>
    </w:p>
    <w:p w14:paraId="7EC15DA1" w14:textId="77777777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>Pardavimas: kada mokėti GPM?</w:t>
      </w:r>
    </w:p>
    <w:p w14:paraId="5B31EF9C" w14:textId="326D3289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Jei būstas parduodamas anksčiau nei po 10 metų nuo jo įsigijimo arba jei jame pastaruosius dvejus metus nebuvo deklaruota gyvenamoji vieta, taikomas GPM nuo uždirbto pelno</w:t>
      </w:r>
      <w:r w:rsidR="00B03B56">
        <w:rPr>
          <w:rFonts w:ascii="Verdana" w:hAnsi="Verdana"/>
          <w:sz w:val="18"/>
          <w:szCs w:val="18"/>
        </w:rPr>
        <w:t>.</w:t>
      </w:r>
      <w:r w:rsidRPr="00220C72">
        <w:rPr>
          <w:rFonts w:ascii="Verdana" w:hAnsi="Verdana"/>
          <w:sz w:val="18"/>
          <w:szCs w:val="18"/>
        </w:rPr>
        <w:t xml:space="preserve"> </w:t>
      </w:r>
      <w:r w:rsidR="00B03B56">
        <w:rPr>
          <w:rFonts w:ascii="Verdana" w:hAnsi="Verdana"/>
          <w:sz w:val="18"/>
          <w:szCs w:val="18"/>
        </w:rPr>
        <w:t>J</w:t>
      </w:r>
      <w:r w:rsidRPr="00220C72">
        <w:rPr>
          <w:rFonts w:ascii="Verdana" w:hAnsi="Verdana"/>
          <w:sz w:val="18"/>
          <w:szCs w:val="18"/>
        </w:rPr>
        <w:t>ei NT pardavimo pajamos neviršija 120 vidutinių šalies darbo užmokesčių dydžio (VDU) sumos</w:t>
      </w:r>
      <w:r w:rsidR="00B03B56">
        <w:rPr>
          <w:rFonts w:ascii="Verdana" w:hAnsi="Verdana"/>
          <w:sz w:val="18"/>
          <w:szCs w:val="18"/>
        </w:rPr>
        <w:t>, taikomas 15 proc. tarifas, jei viršija – 20 proc. tarifas.</w:t>
      </w:r>
      <w:r w:rsidRPr="00220C72">
        <w:rPr>
          <w:rFonts w:ascii="Verdana" w:hAnsi="Verdana"/>
          <w:sz w:val="18"/>
          <w:szCs w:val="18"/>
        </w:rPr>
        <w:t xml:space="preserve"> 2025 m. 120 VDU </w:t>
      </w:r>
      <w:r w:rsidR="00B03B56">
        <w:rPr>
          <w:rFonts w:ascii="Verdana" w:hAnsi="Verdana"/>
          <w:sz w:val="18"/>
          <w:szCs w:val="18"/>
        </w:rPr>
        <w:t>siekia</w:t>
      </w:r>
      <w:r w:rsidR="00323B6B">
        <w:rPr>
          <w:rFonts w:ascii="Verdana" w:hAnsi="Verdana"/>
          <w:sz w:val="18"/>
          <w:szCs w:val="18"/>
        </w:rPr>
        <w:t xml:space="preserve"> </w:t>
      </w:r>
      <w:r w:rsidRPr="00220C72">
        <w:rPr>
          <w:rFonts w:ascii="Verdana" w:hAnsi="Verdana"/>
          <w:sz w:val="18"/>
          <w:szCs w:val="18"/>
        </w:rPr>
        <w:t>253 065,60 Eur</w:t>
      </w:r>
      <w:r w:rsidR="00B03B56">
        <w:rPr>
          <w:rFonts w:ascii="Verdana" w:hAnsi="Verdana"/>
          <w:sz w:val="18"/>
          <w:szCs w:val="18"/>
        </w:rPr>
        <w:t>.</w:t>
      </w:r>
    </w:p>
    <w:p w14:paraId="25C212C2" w14:textId="59AF6792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Šis mokestis netaikomas, jei bute ar gyvenamajame name buvote deklaravę gyvenamąją vietą (net ir tuo atveju</w:t>
      </w:r>
      <w:r w:rsidR="00323B6B">
        <w:rPr>
          <w:rFonts w:ascii="Verdana" w:hAnsi="Verdana"/>
          <w:sz w:val="18"/>
          <w:szCs w:val="18"/>
        </w:rPr>
        <w:t>,</w:t>
      </w:r>
      <w:r w:rsidRPr="00220C72">
        <w:rPr>
          <w:rFonts w:ascii="Verdana" w:hAnsi="Verdana"/>
          <w:sz w:val="18"/>
          <w:szCs w:val="18"/>
        </w:rPr>
        <w:t xml:space="preserve"> jei buvote deklaravę trumpiau nei 2 metus) ir pardavę būstą per vienerius metus nusipirkote kitą būstą bei jame deklaravote gyvenamąją vietą. Todėl, prieš planuojant pardavimą, verta įsivertinti sąlygas.</w:t>
      </w:r>
    </w:p>
    <w:p w14:paraId="21566336" w14:textId="77777777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>Kas svarbiausia?</w:t>
      </w:r>
    </w:p>
    <w:p w14:paraId="0A28D414" w14:textId="77777777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Būsto įsigijimas – tai gyvenimo investicija. Ne tik finansine, bet ir emocine prasme. Kuo daugiau žinome apie susijusias procedūras ir prievoles, tuo labiau galime pasitikėti savo sprendimu.</w:t>
      </w:r>
    </w:p>
    <w:p w14:paraId="5B5CC55A" w14:textId="39252DD3" w:rsidR="00220C72" w:rsidRPr="00220C72" w:rsidRDefault="00220C72" w:rsidP="00220C72">
      <w:pPr>
        <w:rPr>
          <w:rFonts w:ascii="Verdana" w:hAnsi="Verdana"/>
          <w:sz w:val="18"/>
          <w:szCs w:val="18"/>
        </w:rPr>
      </w:pPr>
      <w:r w:rsidRPr="00220C72">
        <w:rPr>
          <w:rFonts w:ascii="Verdana" w:hAnsi="Verdana"/>
          <w:sz w:val="18"/>
          <w:szCs w:val="18"/>
        </w:rPr>
        <w:t>„Perkam</w:t>
      </w:r>
      <w:r w:rsidR="00323B6B">
        <w:rPr>
          <w:rFonts w:ascii="Verdana" w:hAnsi="Verdana"/>
          <w:sz w:val="18"/>
          <w:szCs w:val="18"/>
        </w:rPr>
        <w:t>e</w:t>
      </w:r>
      <w:r w:rsidRPr="00220C72">
        <w:rPr>
          <w:rFonts w:ascii="Verdana" w:hAnsi="Verdana"/>
          <w:sz w:val="18"/>
          <w:szCs w:val="18"/>
        </w:rPr>
        <w:t xml:space="preserve"> ne tik kvadratinius metrus – kuriame savo erdvę, saugumą ir ateitį. O aiškus supratimas apie viską – nuo mokesčių iki registravimo – leidžia tai padaryti be streso ir su užtikrintumu“, – apibendrina „Citus“ teisininkė I. </w:t>
      </w:r>
      <w:proofErr w:type="spellStart"/>
      <w:r w:rsidRPr="00220C72">
        <w:rPr>
          <w:rFonts w:ascii="Verdana" w:hAnsi="Verdana"/>
          <w:sz w:val="18"/>
          <w:szCs w:val="18"/>
        </w:rPr>
        <w:t>Pukelienė</w:t>
      </w:r>
      <w:proofErr w:type="spellEnd"/>
      <w:r w:rsidRPr="00220C72">
        <w:rPr>
          <w:rFonts w:ascii="Verdana" w:hAnsi="Verdana"/>
          <w:sz w:val="18"/>
          <w:szCs w:val="18"/>
        </w:rPr>
        <w:t>.</w:t>
      </w:r>
    </w:p>
    <w:p w14:paraId="110BEF7B" w14:textId="77777777" w:rsidR="00220C72" w:rsidRPr="00220C72" w:rsidRDefault="00220C72" w:rsidP="00220C72">
      <w:pPr>
        <w:rPr>
          <w:rFonts w:ascii="Verdana" w:hAnsi="Verdana"/>
          <w:b/>
          <w:bCs/>
          <w:sz w:val="18"/>
          <w:szCs w:val="18"/>
        </w:rPr>
      </w:pPr>
      <w:r w:rsidRPr="00220C72">
        <w:rPr>
          <w:rFonts w:ascii="Verdana" w:hAnsi="Verdana"/>
          <w:b/>
          <w:bCs/>
          <w:sz w:val="18"/>
          <w:szCs w:val="18"/>
        </w:rPr>
        <w:t>Faktų suvestinė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5625"/>
      </w:tblGrid>
      <w:tr w:rsidR="00220C72" w:rsidRPr="00220C72" w14:paraId="17CFFEC6" w14:textId="77777777" w:rsidTr="005E65C3">
        <w:tc>
          <w:tcPr>
            <w:tcW w:w="2649" w:type="dxa"/>
            <w:hideMark/>
          </w:tcPr>
          <w:p w14:paraId="11EEF6BC" w14:textId="77777777" w:rsidR="00220C72" w:rsidRPr="00220C72" w:rsidRDefault="00220C72" w:rsidP="00220C7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0C72">
              <w:rPr>
                <w:rFonts w:ascii="Verdana" w:hAnsi="Verdana"/>
                <w:b/>
                <w:bCs/>
                <w:sz w:val="18"/>
                <w:szCs w:val="18"/>
              </w:rPr>
              <w:t>Situacija</w:t>
            </w:r>
          </w:p>
        </w:tc>
        <w:tc>
          <w:tcPr>
            <w:tcW w:w="5625" w:type="dxa"/>
            <w:hideMark/>
          </w:tcPr>
          <w:p w14:paraId="177C54DA" w14:textId="77777777" w:rsidR="00220C72" w:rsidRPr="00220C72" w:rsidRDefault="00220C72" w:rsidP="00220C72">
            <w:pPr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0C72">
              <w:rPr>
                <w:rFonts w:ascii="Verdana" w:hAnsi="Verdana"/>
                <w:b/>
                <w:bCs/>
                <w:sz w:val="18"/>
                <w:szCs w:val="18"/>
              </w:rPr>
              <w:t>Galimi mokesčiai / rinkliavos</w:t>
            </w:r>
          </w:p>
        </w:tc>
      </w:tr>
      <w:tr w:rsidR="00220C72" w:rsidRPr="00220C72" w14:paraId="6EE084FF" w14:textId="77777777" w:rsidTr="005E65C3">
        <w:tc>
          <w:tcPr>
            <w:tcW w:w="2649" w:type="dxa"/>
            <w:hideMark/>
          </w:tcPr>
          <w:p w14:paraId="216DA1A9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NT pirkimas</w:t>
            </w:r>
          </w:p>
        </w:tc>
        <w:tc>
          <w:tcPr>
            <w:tcW w:w="5625" w:type="dxa"/>
            <w:hideMark/>
          </w:tcPr>
          <w:p w14:paraId="05DF9EEC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Notaro mokestis, RC registracija</w:t>
            </w:r>
          </w:p>
        </w:tc>
      </w:tr>
      <w:tr w:rsidR="00220C72" w:rsidRPr="00220C72" w14:paraId="060D64F8" w14:textId="77777777" w:rsidTr="005E65C3">
        <w:tc>
          <w:tcPr>
            <w:tcW w:w="2649" w:type="dxa"/>
            <w:hideMark/>
          </w:tcPr>
          <w:p w14:paraId="365B0C7E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Pirkimas su paskola</w:t>
            </w:r>
          </w:p>
        </w:tc>
        <w:tc>
          <w:tcPr>
            <w:tcW w:w="5625" w:type="dxa"/>
            <w:hideMark/>
          </w:tcPr>
          <w:p w14:paraId="5DFB2027" w14:textId="4494BFBD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Hipoteka, kredito mokestis, vertinimas, </w:t>
            </w:r>
            <w:r w:rsidR="007F2EA4">
              <w:rPr>
                <w:rFonts w:ascii="Verdana" w:hAnsi="Verdana"/>
                <w:sz w:val="18"/>
                <w:szCs w:val="18"/>
              </w:rPr>
              <w:t xml:space="preserve">turto </w:t>
            </w:r>
            <w:r w:rsidRPr="00220C72">
              <w:rPr>
                <w:rFonts w:ascii="Verdana" w:hAnsi="Verdana"/>
                <w:sz w:val="18"/>
                <w:szCs w:val="18"/>
              </w:rPr>
              <w:t>draudimas</w:t>
            </w:r>
          </w:p>
        </w:tc>
      </w:tr>
      <w:tr w:rsidR="00220C72" w:rsidRPr="00220C72" w14:paraId="4E92A8F0" w14:textId="77777777" w:rsidTr="005E65C3">
        <w:tc>
          <w:tcPr>
            <w:tcW w:w="2649" w:type="dxa"/>
            <w:hideMark/>
          </w:tcPr>
          <w:p w14:paraId="4AE727AE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Dovana (ne artimieji)</w:t>
            </w:r>
          </w:p>
        </w:tc>
        <w:tc>
          <w:tcPr>
            <w:tcW w:w="5625" w:type="dxa"/>
            <w:hideMark/>
          </w:tcPr>
          <w:p w14:paraId="20EA10C9" w14:textId="60134F80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15–20 </w:t>
            </w:r>
            <w:r w:rsidR="00B03B56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GPM nuo </w:t>
            </w:r>
            <w:r w:rsidR="00B03B56">
              <w:rPr>
                <w:rFonts w:ascii="Verdana" w:hAnsi="Verdana"/>
                <w:sz w:val="18"/>
                <w:szCs w:val="18"/>
              </w:rPr>
              <w:t>turto vertės, didesnės nei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2 500 Eur</w:t>
            </w:r>
          </w:p>
        </w:tc>
      </w:tr>
      <w:tr w:rsidR="00220C72" w:rsidRPr="00220C72" w14:paraId="6C4D9197" w14:textId="77777777" w:rsidTr="005E65C3">
        <w:tc>
          <w:tcPr>
            <w:tcW w:w="2649" w:type="dxa"/>
            <w:hideMark/>
          </w:tcPr>
          <w:p w14:paraId="6B67E8AF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Paveldėjimas</w:t>
            </w:r>
          </w:p>
        </w:tc>
        <w:tc>
          <w:tcPr>
            <w:tcW w:w="5625" w:type="dxa"/>
            <w:hideMark/>
          </w:tcPr>
          <w:p w14:paraId="0C567830" w14:textId="32918028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 xml:space="preserve">5–10 </w:t>
            </w:r>
            <w:r w:rsidR="00B03B56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03B56">
              <w:rPr>
                <w:rFonts w:ascii="Verdana" w:hAnsi="Verdana"/>
                <w:sz w:val="18"/>
                <w:szCs w:val="18"/>
              </w:rPr>
              <w:t>priklausomai nuo vertės</w:t>
            </w:r>
          </w:p>
        </w:tc>
      </w:tr>
      <w:tr w:rsidR="00220C72" w:rsidRPr="00220C72" w14:paraId="786BF435" w14:textId="77777777" w:rsidTr="005E65C3">
        <w:tc>
          <w:tcPr>
            <w:tcW w:w="2649" w:type="dxa"/>
            <w:hideMark/>
          </w:tcPr>
          <w:p w14:paraId="76D74AFC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NT turėjimas</w:t>
            </w:r>
          </w:p>
        </w:tc>
        <w:tc>
          <w:tcPr>
            <w:tcW w:w="5625" w:type="dxa"/>
            <w:hideMark/>
          </w:tcPr>
          <w:p w14:paraId="3C648C6D" w14:textId="40C428DA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NT mokestis (</w:t>
            </w:r>
            <w:r w:rsidR="00B03B56">
              <w:rPr>
                <w:rFonts w:ascii="Verdana" w:hAnsi="Verdana"/>
                <w:sz w:val="18"/>
                <w:szCs w:val="18"/>
              </w:rPr>
              <w:t xml:space="preserve">2025 m. </w:t>
            </w:r>
            <w:r w:rsidRPr="00220C72">
              <w:rPr>
                <w:rFonts w:ascii="Verdana" w:hAnsi="Verdana"/>
                <w:sz w:val="18"/>
                <w:szCs w:val="18"/>
              </w:rPr>
              <w:t>virš 150 000 Eur), žemės mokestis</w:t>
            </w:r>
          </w:p>
        </w:tc>
      </w:tr>
      <w:tr w:rsidR="00220C72" w:rsidRPr="00220C72" w14:paraId="481FD5EE" w14:textId="77777777" w:rsidTr="005E65C3">
        <w:tc>
          <w:tcPr>
            <w:tcW w:w="2649" w:type="dxa"/>
            <w:hideMark/>
          </w:tcPr>
          <w:p w14:paraId="60848173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Statyba/rekonstrukcija</w:t>
            </w:r>
          </w:p>
        </w:tc>
        <w:tc>
          <w:tcPr>
            <w:tcW w:w="5625" w:type="dxa"/>
            <w:hideMark/>
          </w:tcPr>
          <w:p w14:paraId="5666FDB4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Infrastruktūros įmoka (pvz., 15 Eur/kv. m Vilniuje)</w:t>
            </w:r>
          </w:p>
        </w:tc>
      </w:tr>
      <w:tr w:rsidR="00220C72" w:rsidRPr="00220C72" w14:paraId="5DBA764D" w14:textId="77777777" w:rsidTr="005E65C3">
        <w:tc>
          <w:tcPr>
            <w:tcW w:w="2649" w:type="dxa"/>
            <w:hideMark/>
          </w:tcPr>
          <w:p w14:paraId="085EE8C0" w14:textId="77777777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NT pardavimas</w:t>
            </w:r>
          </w:p>
        </w:tc>
        <w:tc>
          <w:tcPr>
            <w:tcW w:w="5625" w:type="dxa"/>
            <w:hideMark/>
          </w:tcPr>
          <w:p w14:paraId="3C13C6B2" w14:textId="154F9639" w:rsidR="00220C72" w:rsidRPr="00220C72" w:rsidRDefault="00220C72" w:rsidP="00220C72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220C72">
              <w:rPr>
                <w:rFonts w:ascii="Verdana" w:hAnsi="Verdana"/>
                <w:sz w:val="18"/>
                <w:szCs w:val="18"/>
              </w:rPr>
              <w:t>15</w:t>
            </w:r>
            <w:r w:rsidR="00B03B56">
              <w:rPr>
                <w:rFonts w:ascii="Verdana" w:hAnsi="Verdana"/>
                <w:sz w:val="18"/>
                <w:szCs w:val="18"/>
              </w:rPr>
              <w:t>–20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3B56">
              <w:rPr>
                <w:rFonts w:ascii="Verdana" w:hAnsi="Verdana"/>
                <w:sz w:val="18"/>
                <w:szCs w:val="18"/>
              </w:rPr>
              <w:t>proc.</w:t>
            </w:r>
            <w:r w:rsidRPr="00220C72">
              <w:rPr>
                <w:rFonts w:ascii="Verdana" w:hAnsi="Verdana"/>
                <w:sz w:val="18"/>
                <w:szCs w:val="18"/>
              </w:rPr>
              <w:t xml:space="preserve"> GPM, jei netaikomos išimtys</w:t>
            </w:r>
          </w:p>
        </w:tc>
      </w:tr>
    </w:tbl>
    <w:p w14:paraId="558C78C5" w14:textId="77777777" w:rsidR="002B447A" w:rsidRPr="0076656D" w:rsidRDefault="002B447A" w:rsidP="0017754C">
      <w:pPr>
        <w:pBdr>
          <w:bottom w:val="single" w:sz="8" w:space="1" w:color="FFC000"/>
        </w:pBdr>
        <w:rPr>
          <w:rFonts w:ascii="Verdana" w:hAnsi="Verdana"/>
          <w:sz w:val="18"/>
          <w:szCs w:val="20"/>
        </w:rPr>
      </w:pPr>
    </w:p>
    <w:p w14:paraId="75AE99DB" w14:textId="4DB54D44" w:rsidR="004137F3" w:rsidRPr="0076656D" w:rsidRDefault="001B4689" w:rsidP="0081024D">
      <w:pPr>
        <w:spacing w:after="100" w:afterAutospacing="1"/>
        <w:contextualSpacing/>
        <w:mirrorIndents/>
        <w:outlineLvl w:val="0"/>
        <w:rPr>
          <w:rFonts w:ascii="Verdana" w:hAnsi="Verdana" w:cstheme="majorHAnsi"/>
          <w:b/>
          <w:sz w:val="18"/>
          <w:szCs w:val="18"/>
          <w:shd w:val="clear" w:color="auto" w:fill="FFFFFF"/>
        </w:rPr>
      </w:pPr>
      <w:r w:rsidRPr="0076656D">
        <w:rPr>
          <w:rFonts w:ascii="Verdana" w:hAnsi="Verdana" w:cstheme="majorHAnsi"/>
          <w:b/>
          <w:sz w:val="18"/>
          <w:szCs w:val="18"/>
          <w:shd w:val="clear" w:color="auto" w:fill="FFFFFF"/>
        </w:rPr>
        <w:br/>
      </w:r>
    </w:p>
    <w:p w14:paraId="3187DF5B" w14:textId="77777777" w:rsidR="0081024D" w:rsidRPr="0076656D" w:rsidRDefault="0081024D" w:rsidP="0081024D">
      <w:pPr>
        <w:spacing w:after="100" w:afterAutospacing="1"/>
        <w:contextualSpacing/>
        <w:mirrorIndents/>
        <w:outlineLvl w:val="0"/>
        <w:rPr>
          <w:rFonts w:ascii="Verdana" w:hAnsi="Verdana" w:cs="Open Sans Light"/>
          <w:b/>
          <w:sz w:val="15"/>
          <w:szCs w:val="15"/>
          <w:shd w:val="clear" w:color="auto" w:fill="FFFFFF"/>
        </w:rPr>
      </w:pPr>
      <w:r w:rsidRPr="0076656D">
        <w:rPr>
          <w:rFonts w:ascii="Verdana" w:hAnsi="Verdana" w:cs="Open Sans Light"/>
          <w:b/>
          <w:sz w:val="15"/>
          <w:szCs w:val="15"/>
          <w:shd w:val="clear" w:color="auto" w:fill="FFFFFF"/>
        </w:rPr>
        <w:t xml:space="preserve">Daugiau informacijos: </w:t>
      </w:r>
    </w:p>
    <w:p w14:paraId="475253FD" w14:textId="686F5081" w:rsidR="00481E6F" w:rsidRPr="0017754C" w:rsidRDefault="0081024D">
      <w:pPr>
        <w:jc w:val="left"/>
        <w:rPr>
          <w:rFonts w:ascii="Verdana" w:hAnsi="Verdana" w:cs="Open Sans Light"/>
          <w:color w:val="3B3838" w:themeColor="background2" w:themeShade="40"/>
          <w:sz w:val="15"/>
          <w:szCs w:val="15"/>
          <w:lang w:eastAsia="lt-LT"/>
        </w:rPr>
      </w:pPr>
      <w:r w:rsidRPr="0076656D">
        <w:rPr>
          <w:rFonts w:ascii="Verdana" w:hAnsi="Verdana" w:cs="Open Sans Light"/>
          <w:sz w:val="15"/>
          <w:szCs w:val="15"/>
          <w:lang w:eastAsia="lt-LT"/>
        </w:rPr>
        <w:t>Rytas Stalnionis</w:t>
      </w:r>
      <w:r w:rsidRPr="0076656D">
        <w:rPr>
          <w:rFonts w:ascii="Verdana" w:hAnsi="Verdana" w:cs="Open Sans Light"/>
          <w:sz w:val="15"/>
          <w:szCs w:val="15"/>
          <w:lang w:eastAsia="lt-LT"/>
        </w:rPr>
        <w:br/>
        <w:t>Komunikacijos vadovas</w:t>
      </w:r>
      <w:r w:rsidRPr="0076656D">
        <w:rPr>
          <w:rFonts w:ascii="Verdana" w:hAnsi="Verdana" w:cs="Open Sans Light"/>
          <w:sz w:val="15"/>
          <w:szCs w:val="15"/>
          <w:lang w:eastAsia="lt-LT"/>
        </w:rPr>
        <w:br/>
        <w:t>Tel.: +370 614 01829</w:t>
      </w:r>
      <w:r w:rsidRPr="0076656D">
        <w:rPr>
          <w:rFonts w:ascii="Verdana" w:hAnsi="Verdana" w:cs="Open Sans Light"/>
          <w:sz w:val="15"/>
          <w:szCs w:val="15"/>
          <w:lang w:eastAsia="lt-LT"/>
        </w:rPr>
        <w:br/>
        <w:t xml:space="preserve">El. paštas </w:t>
      </w:r>
      <w:hyperlink r:id="rId8" w:history="1">
        <w:r w:rsidRPr="0076656D">
          <w:rPr>
            <w:rStyle w:val="Hyperlink"/>
            <w:rFonts w:ascii="Verdana" w:hAnsi="Verdana" w:cs="Open Sans Light"/>
            <w:b/>
            <w:color w:val="3B3838" w:themeColor="background2" w:themeShade="40"/>
            <w:sz w:val="15"/>
            <w:szCs w:val="15"/>
            <w:u w:val="none"/>
            <w:lang w:eastAsia="lt-LT"/>
          </w:rPr>
          <w:t>rytas.stalnionis@citus.lt</w:t>
        </w:r>
      </w:hyperlink>
      <w:r w:rsidRPr="0076656D">
        <w:rPr>
          <w:rFonts w:ascii="Verdana" w:hAnsi="Verdana" w:cs="Open Sans Light"/>
          <w:sz w:val="15"/>
          <w:szCs w:val="15"/>
          <w:lang w:eastAsia="lt-LT"/>
        </w:rPr>
        <w:br/>
      </w:r>
      <w:hyperlink r:id="rId9" w:history="1">
        <w:r w:rsidRPr="0076656D">
          <w:rPr>
            <w:rStyle w:val="Hyperlink"/>
            <w:rFonts w:ascii="Verdana" w:hAnsi="Verdana" w:cs="Open Sans Light"/>
            <w:b/>
            <w:color w:val="3B3838" w:themeColor="background2" w:themeShade="40"/>
            <w:sz w:val="15"/>
            <w:szCs w:val="15"/>
            <w:u w:val="none"/>
            <w:lang w:eastAsia="lt-LT"/>
          </w:rPr>
          <w:t>www.citus.lt</w:t>
        </w:r>
      </w:hyperlink>
    </w:p>
    <w:sectPr w:rsidR="00481E6F" w:rsidRPr="0017754C" w:rsidSect="00B61F58">
      <w:headerReference w:type="default" r:id="rId10"/>
      <w:pgSz w:w="11906" w:h="16838"/>
      <w:pgMar w:top="1418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C977" w14:textId="77777777" w:rsidR="009275F7" w:rsidRDefault="009275F7" w:rsidP="00404A94">
      <w:pPr>
        <w:spacing w:after="0"/>
      </w:pPr>
      <w:r>
        <w:separator/>
      </w:r>
    </w:p>
  </w:endnote>
  <w:endnote w:type="continuationSeparator" w:id="0">
    <w:p w14:paraId="6EEFD48D" w14:textId="77777777" w:rsidR="009275F7" w:rsidRDefault="009275F7" w:rsidP="00404A94">
      <w:pPr>
        <w:spacing w:after="0"/>
      </w:pPr>
      <w:r>
        <w:continuationSeparator/>
      </w:r>
    </w:p>
  </w:endnote>
  <w:endnote w:type="continuationNotice" w:id="1">
    <w:p w14:paraId="5B4C2E96" w14:textId="77777777" w:rsidR="009275F7" w:rsidRDefault="009275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7878" w14:textId="77777777" w:rsidR="009275F7" w:rsidRDefault="009275F7" w:rsidP="00404A94">
      <w:pPr>
        <w:spacing w:after="0"/>
      </w:pPr>
      <w:r>
        <w:separator/>
      </w:r>
    </w:p>
  </w:footnote>
  <w:footnote w:type="continuationSeparator" w:id="0">
    <w:p w14:paraId="0EC22F24" w14:textId="77777777" w:rsidR="009275F7" w:rsidRDefault="009275F7" w:rsidP="00404A94">
      <w:pPr>
        <w:spacing w:after="0"/>
      </w:pPr>
      <w:r>
        <w:continuationSeparator/>
      </w:r>
    </w:p>
  </w:footnote>
  <w:footnote w:type="continuationNotice" w:id="1">
    <w:p w14:paraId="266E613D" w14:textId="77777777" w:rsidR="009275F7" w:rsidRDefault="009275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32CD" w14:textId="66366189" w:rsidR="00E46A19" w:rsidRPr="00E46A19" w:rsidRDefault="00F84055" w:rsidP="00E46A19">
    <w:pPr>
      <w:spacing w:after="0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4E77E4" wp14:editId="669F2F81">
          <wp:simplePos x="0" y="0"/>
          <wp:positionH relativeFrom="margin">
            <wp:posOffset>3810</wp:posOffset>
          </wp:positionH>
          <wp:positionV relativeFrom="paragraph">
            <wp:posOffset>-349413</wp:posOffset>
          </wp:positionV>
          <wp:extent cx="6468745" cy="534532"/>
          <wp:effectExtent l="0" t="0" r="0" b="0"/>
          <wp:wrapNone/>
          <wp:docPr id="879240556" name="Picture 879240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745" cy="53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INCLUDEPICTURE "http://lntpa.lt/wp-content/themes/lntpa-front/img/logo.png" \* MERGEFORMATINET </w:instrText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</w:p>
  <w:p w14:paraId="1FC68457" w14:textId="67EF6659" w:rsidR="00404A94" w:rsidRDefault="00404A94">
    <w:pPr>
      <w:pStyle w:val="Header"/>
    </w:pPr>
  </w:p>
  <w:p w14:paraId="69503709" w14:textId="0F2DF9DD" w:rsidR="00404A94" w:rsidRDefault="00404A94">
    <w:pPr>
      <w:pStyle w:val="Header"/>
    </w:pPr>
  </w:p>
  <w:p w14:paraId="10703575" w14:textId="77777777" w:rsidR="00404A94" w:rsidRDefault="0040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9A3"/>
    <w:multiLevelType w:val="multilevel"/>
    <w:tmpl w:val="09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223A"/>
    <w:multiLevelType w:val="hybridMultilevel"/>
    <w:tmpl w:val="73C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B0B"/>
    <w:multiLevelType w:val="hybridMultilevel"/>
    <w:tmpl w:val="E8325F64"/>
    <w:lvl w:ilvl="0" w:tplc="1F22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1646BB9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357A"/>
    <w:multiLevelType w:val="hybridMultilevel"/>
    <w:tmpl w:val="EB2801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B3517"/>
    <w:multiLevelType w:val="hybridMultilevel"/>
    <w:tmpl w:val="9D044534"/>
    <w:lvl w:ilvl="0" w:tplc="41663E14">
      <w:start w:val="1"/>
      <w:numFmt w:val="decimal"/>
      <w:lvlText w:val="%1."/>
      <w:lvlJc w:val="left"/>
      <w:pPr>
        <w:ind w:left="720" w:hanging="360"/>
      </w:pPr>
      <w:rPr>
        <w:b/>
        <w:bCs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E1C"/>
    <w:multiLevelType w:val="hybridMultilevel"/>
    <w:tmpl w:val="2220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4606"/>
    <w:multiLevelType w:val="hybridMultilevel"/>
    <w:tmpl w:val="09CC2A08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1308"/>
    <w:multiLevelType w:val="hybridMultilevel"/>
    <w:tmpl w:val="A65A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9C9"/>
    <w:multiLevelType w:val="hybridMultilevel"/>
    <w:tmpl w:val="C484736A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A98A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E54"/>
    <w:multiLevelType w:val="hybridMultilevel"/>
    <w:tmpl w:val="C5E21E66"/>
    <w:lvl w:ilvl="0" w:tplc="75082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A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438C"/>
    <w:multiLevelType w:val="hybridMultilevel"/>
    <w:tmpl w:val="0EDC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4C5A"/>
    <w:multiLevelType w:val="hybridMultilevel"/>
    <w:tmpl w:val="810E674E"/>
    <w:lvl w:ilvl="0" w:tplc="A600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D1824"/>
    <w:multiLevelType w:val="multilevel"/>
    <w:tmpl w:val="C42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805A2"/>
    <w:multiLevelType w:val="multilevel"/>
    <w:tmpl w:val="09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F5691"/>
    <w:multiLevelType w:val="multilevel"/>
    <w:tmpl w:val="751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451EE"/>
    <w:multiLevelType w:val="hybridMultilevel"/>
    <w:tmpl w:val="DE96BAE4"/>
    <w:lvl w:ilvl="0" w:tplc="69E2A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618A"/>
    <w:multiLevelType w:val="hybridMultilevel"/>
    <w:tmpl w:val="4A28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3E"/>
    <w:multiLevelType w:val="hybridMultilevel"/>
    <w:tmpl w:val="E272EB22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CF1"/>
    <w:multiLevelType w:val="hybridMultilevel"/>
    <w:tmpl w:val="316091A4"/>
    <w:lvl w:ilvl="0" w:tplc="C5AE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3D46"/>
    <w:multiLevelType w:val="hybridMultilevel"/>
    <w:tmpl w:val="C4F2F01C"/>
    <w:lvl w:ilvl="0" w:tplc="EEA6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D010"/>
        <w:sz w:val="28"/>
      </w:rPr>
    </w:lvl>
    <w:lvl w:ilvl="1" w:tplc="EEB2C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B7931"/>
    <w:multiLevelType w:val="hybridMultilevel"/>
    <w:tmpl w:val="4488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C5BC5"/>
    <w:multiLevelType w:val="hybridMultilevel"/>
    <w:tmpl w:val="8D44F542"/>
    <w:lvl w:ilvl="0" w:tplc="8E18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E6ED4"/>
    <w:multiLevelType w:val="multilevel"/>
    <w:tmpl w:val="130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F77060"/>
    <w:multiLevelType w:val="hybridMultilevel"/>
    <w:tmpl w:val="D3D65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B2005"/>
    <w:multiLevelType w:val="hybridMultilevel"/>
    <w:tmpl w:val="6F72ECA2"/>
    <w:lvl w:ilvl="0" w:tplc="69E2A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2A64"/>
    <w:multiLevelType w:val="hybridMultilevel"/>
    <w:tmpl w:val="F90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022CA"/>
    <w:multiLevelType w:val="hybridMultilevel"/>
    <w:tmpl w:val="C91CD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F6A06"/>
    <w:multiLevelType w:val="hybridMultilevel"/>
    <w:tmpl w:val="60481A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841F9"/>
    <w:multiLevelType w:val="hybridMultilevel"/>
    <w:tmpl w:val="3F9A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A7BB9"/>
    <w:multiLevelType w:val="hybridMultilevel"/>
    <w:tmpl w:val="691CC364"/>
    <w:lvl w:ilvl="0" w:tplc="6396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34843"/>
    <w:multiLevelType w:val="multilevel"/>
    <w:tmpl w:val="DA4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F7F18"/>
    <w:multiLevelType w:val="hybridMultilevel"/>
    <w:tmpl w:val="41D4E442"/>
    <w:lvl w:ilvl="0" w:tplc="75082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A6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51201">
    <w:abstractNumId w:val="3"/>
  </w:num>
  <w:num w:numId="2" w16cid:durableId="1565750052">
    <w:abstractNumId w:val="26"/>
  </w:num>
  <w:num w:numId="3" w16cid:durableId="1815903907">
    <w:abstractNumId w:val="27"/>
  </w:num>
  <w:num w:numId="4" w16cid:durableId="1561406862">
    <w:abstractNumId w:val="31"/>
  </w:num>
  <w:num w:numId="5" w16cid:durableId="321006177">
    <w:abstractNumId w:val="23"/>
  </w:num>
  <w:num w:numId="6" w16cid:durableId="503938402">
    <w:abstractNumId w:val="20"/>
  </w:num>
  <w:num w:numId="7" w16cid:durableId="1758016345">
    <w:abstractNumId w:val="18"/>
  </w:num>
  <w:num w:numId="8" w16cid:durableId="2074308771">
    <w:abstractNumId w:val="9"/>
  </w:num>
  <w:num w:numId="9" w16cid:durableId="263540259">
    <w:abstractNumId w:val="21"/>
  </w:num>
  <w:num w:numId="10" w16cid:durableId="1759860241">
    <w:abstractNumId w:val="7"/>
  </w:num>
  <w:num w:numId="11" w16cid:durableId="813330766">
    <w:abstractNumId w:val="24"/>
  </w:num>
  <w:num w:numId="12" w16cid:durableId="1478958565">
    <w:abstractNumId w:val="15"/>
  </w:num>
  <w:num w:numId="13" w16cid:durableId="574709329">
    <w:abstractNumId w:val="29"/>
  </w:num>
  <w:num w:numId="14" w16cid:durableId="29310045">
    <w:abstractNumId w:val="4"/>
  </w:num>
  <w:num w:numId="15" w16cid:durableId="1947807562">
    <w:abstractNumId w:val="2"/>
  </w:num>
  <w:num w:numId="16" w16cid:durableId="2101025905">
    <w:abstractNumId w:val="25"/>
  </w:num>
  <w:num w:numId="17" w16cid:durableId="394011149">
    <w:abstractNumId w:val="28"/>
  </w:num>
  <w:num w:numId="18" w16cid:durableId="1758165198">
    <w:abstractNumId w:val="5"/>
  </w:num>
  <w:num w:numId="19" w16cid:durableId="836648520">
    <w:abstractNumId w:val="11"/>
  </w:num>
  <w:num w:numId="20" w16cid:durableId="120078200">
    <w:abstractNumId w:val="17"/>
  </w:num>
  <w:num w:numId="21" w16cid:durableId="562251221">
    <w:abstractNumId w:val="6"/>
  </w:num>
  <w:num w:numId="22" w16cid:durableId="1653556973">
    <w:abstractNumId w:val="8"/>
  </w:num>
  <w:num w:numId="23" w16cid:durableId="303893639">
    <w:abstractNumId w:val="16"/>
  </w:num>
  <w:num w:numId="24" w16cid:durableId="1997344683">
    <w:abstractNumId w:val="19"/>
  </w:num>
  <w:num w:numId="25" w16cid:durableId="1493328608">
    <w:abstractNumId w:val="0"/>
  </w:num>
  <w:num w:numId="26" w16cid:durableId="1410615241">
    <w:abstractNumId w:val="13"/>
  </w:num>
  <w:num w:numId="27" w16cid:durableId="564411746">
    <w:abstractNumId w:val="22"/>
  </w:num>
  <w:num w:numId="28" w16cid:durableId="617685256">
    <w:abstractNumId w:val="10"/>
  </w:num>
  <w:num w:numId="29" w16cid:durableId="59912274">
    <w:abstractNumId w:val="1"/>
  </w:num>
  <w:num w:numId="30" w16cid:durableId="2030720313">
    <w:abstractNumId w:val="14"/>
  </w:num>
  <w:num w:numId="31" w16cid:durableId="211234332">
    <w:abstractNumId w:val="30"/>
  </w:num>
  <w:num w:numId="32" w16cid:durableId="1479104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C6"/>
    <w:rsid w:val="0000119F"/>
    <w:rsid w:val="00001CEF"/>
    <w:rsid w:val="00003B21"/>
    <w:rsid w:val="000102C2"/>
    <w:rsid w:val="00010448"/>
    <w:rsid w:val="000108A2"/>
    <w:rsid w:val="000114F9"/>
    <w:rsid w:val="00011977"/>
    <w:rsid w:val="00013672"/>
    <w:rsid w:val="0001721B"/>
    <w:rsid w:val="0002086F"/>
    <w:rsid w:val="000217A6"/>
    <w:rsid w:val="000220B2"/>
    <w:rsid w:val="000221C9"/>
    <w:rsid w:val="00024A94"/>
    <w:rsid w:val="00026800"/>
    <w:rsid w:val="00026C07"/>
    <w:rsid w:val="00026DDA"/>
    <w:rsid w:val="00031848"/>
    <w:rsid w:val="00031AB6"/>
    <w:rsid w:val="000337FF"/>
    <w:rsid w:val="00034DE4"/>
    <w:rsid w:val="00035DFA"/>
    <w:rsid w:val="000402B6"/>
    <w:rsid w:val="00041FD0"/>
    <w:rsid w:val="0004556B"/>
    <w:rsid w:val="00045CD6"/>
    <w:rsid w:val="000465CD"/>
    <w:rsid w:val="00046EBB"/>
    <w:rsid w:val="00050130"/>
    <w:rsid w:val="0005143F"/>
    <w:rsid w:val="00052F47"/>
    <w:rsid w:val="00053E05"/>
    <w:rsid w:val="0005705C"/>
    <w:rsid w:val="00057388"/>
    <w:rsid w:val="00057C81"/>
    <w:rsid w:val="0006162D"/>
    <w:rsid w:val="00065A74"/>
    <w:rsid w:val="00066E9C"/>
    <w:rsid w:val="0007019C"/>
    <w:rsid w:val="00071C5C"/>
    <w:rsid w:val="00075B5D"/>
    <w:rsid w:val="0007783D"/>
    <w:rsid w:val="00077B19"/>
    <w:rsid w:val="00077E4B"/>
    <w:rsid w:val="00080238"/>
    <w:rsid w:val="00082253"/>
    <w:rsid w:val="00086589"/>
    <w:rsid w:val="0008718D"/>
    <w:rsid w:val="00087E40"/>
    <w:rsid w:val="0009095D"/>
    <w:rsid w:val="00091988"/>
    <w:rsid w:val="00093117"/>
    <w:rsid w:val="00095090"/>
    <w:rsid w:val="00095A7F"/>
    <w:rsid w:val="0009618E"/>
    <w:rsid w:val="00097BCF"/>
    <w:rsid w:val="000A348C"/>
    <w:rsid w:val="000A3BCC"/>
    <w:rsid w:val="000B415E"/>
    <w:rsid w:val="000B51C4"/>
    <w:rsid w:val="000B6652"/>
    <w:rsid w:val="000C2D23"/>
    <w:rsid w:val="000C466A"/>
    <w:rsid w:val="000C7799"/>
    <w:rsid w:val="000D3793"/>
    <w:rsid w:val="000D52B0"/>
    <w:rsid w:val="000D5408"/>
    <w:rsid w:val="000D6181"/>
    <w:rsid w:val="000D7996"/>
    <w:rsid w:val="000E0278"/>
    <w:rsid w:val="000E2549"/>
    <w:rsid w:val="000E412F"/>
    <w:rsid w:val="000E5716"/>
    <w:rsid w:val="000E76EF"/>
    <w:rsid w:val="000F0AE3"/>
    <w:rsid w:val="000F2EF8"/>
    <w:rsid w:val="000F316C"/>
    <w:rsid w:val="000F349B"/>
    <w:rsid w:val="000F3861"/>
    <w:rsid w:val="000F67CF"/>
    <w:rsid w:val="000F6D77"/>
    <w:rsid w:val="0010074C"/>
    <w:rsid w:val="00100E5F"/>
    <w:rsid w:val="001019A3"/>
    <w:rsid w:val="0010443F"/>
    <w:rsid w:val="00110172"/>
    <w:rsid w:val="00110A4F"/>
    <w:rsid w:val="00113E0A"/>
    <w:rsid w:val="0011478A"/>
    <w:rsid w:val="001157AE"/>
    <w:rsid w:val="00116893"/>
    <w:rsid w:val="001168FC"/>
    <w:rsid w:val="00120A16"/>
    <w:rsid w:val="0012235E"/>
    <w:rsid w:val="00123A5A"/>
    <w:rsid w:val="00124643"/>
    <w:rsid w:val="00127DAE"/>
    <w:rsid w:val="001301F8"/>
    <w:rsid w:val="00131EEE"/>
    <w:rsid w:val="001352A6"/>
    <w:rsid w:val="00135A25"/>
    <w:rsid w:val="00143194"/>
    <w:rsid w:val="001448B0"/>
    <w:rsid w:val="00144B4C"/>
    <w:rsid w:val="001461B5"/>
    <w:rsid w:val="0014782B"/>
    <w:rsid w:val="0014782E"/>
    <w:rsid w:val="00150643"/>
    <w:rsid w:val="00154127"/>
    <w:rsid w:val="00155BAD"/>
    <w:rsid w:val="001562E0"/>
    <w:rsid w:val="00156834"/>
    <w:rsid w:val="00157C43"/>
    <w:rsid w:val="0016042B"/>
    <w:rsid w:val="00162248"/>
    <w:rsid w:val="001625E1"/>
    <w:rsid w:val="00166160"/>
    <w:rsid w:val="0016653B"/>
    <w:rsid w:val="001669D3"/>
    <w:rsid w:val="00167031"/>
    <w:rsid w:val="00170EDF"/>
    <w:rsid w:val="001763B9"/>
    <w:rsid w:val="0017754C"/>
    <w:rsid w:val="00177C8A"/>
    <w:rsid w:val="001808C3"/>
    <w:rsid w:val="00183163"/>
    <w:rsid w:val="001842DA"/>
    <w:rsid w:val="001923F6"/>
    <w:rsid w:val="0019298F"/>
    <w:rsid w:val="00194A2D"/>
    <w:rsid w:val="001958A7"/>
    <w:rsid w:val="00195958"/>
    <w:rsid w:val="001A10C9"/>
    <w:rsid w:val="001A17DD"/>
    <w:rsid w:val="001A4310"/>
    <w:rsid w:val="001A559F"/>
    <w:rsid w:val="001A607B"/>
    <w:rsid w:val="001A7C57"/>
    <w:rsid w:val="001B4202"/>
    <w:rsid w:val="001B4689"/>
    <w:rsid w:val="001B7400"/>
    <w:rsid w:val="001B7B47"/>
    <w:rsid w:val="001C08A4"/>
    <w:rsid w:val="001C38BA"/>
    <w:rsid w:val="001C5DAE"/>
    <w:rsid w:val="001C6006"/>
    <w:rsid w:val="001D0703"/>
    <w:rsid w:val="001D2FE9"/>
    <w:rsid w:val="001D4D1A"/>
    <w:rsid w:val="001E2509"/>
    <w:rsid w:val="001E3644"/>
    <w:rsid w:val="001E51A0"/>
    <w:rsid w:val="001E5AD7"/>
    <w:rsid w:val="001E720E"/>
    <w:rsid w:val="001E7680"/>
    <w:rsid w:val="001F08A7"/>
    <w:rsid w:val="001F14EC"/>
    <w:rsid w:val="001F695C"/>
    <w:rsid w:val="001F7CF5"/>
    <w:rsid w:val="00201EAB"/>
    <w:rsid w:val="00204913"/>
    <w:rsid w:val="002054A3"/>
    <w:rsid w:val="00205E76"/>
    <w:rsid w:val="0021114B"/>
    <w:rsid w:val="002120DB"/>
    <w:rsid w:val="00213309"/>
    <w:rsid w:val="0021336A"/>
    <w:rsid w:val="00214349"/>
    <w:rsid w:val="002155CF"/>
    <w:rsid w:val="00220C72"/>
    <w:rsid w:val="00220DA2"/>
    <w:rsid w:val="00221860"/>
    <w:rsid w:val="00225476"/>
    <w:rsid w:val="00225DC1"/>
    <w:rsid w:val="00226FE4"/>
    <w:rsid w:val="00237177"/>
    <w:rsid w:val="0023765A"/>
    <w:rsid w:val="00237FA4"/>
    <w:rsid w:val="00241C37"/>
    <w:rsid w:val="00243606"/>
    <w:rsid w:val="002461FF"/>
    <w:rsid w:val="00246B12"/>
    <w:rsid w:val="00247FB5"/>
    <w:rsid w:val="00251240"/>
    <w:rsid w:val="00254D36"/>
    <w:rsid w:val="002550D7"/>
    <w:rsid w:val="002606AC"/>
    <w:rsid w:val="0026093C"/>
    <w:rsid w:val="00260A01"/>
    <w:rsid w:val="0026120A"/>
    <w:rsid w:val="002651DB"/>
    <w:rsid w:val="00265B81"/>
    <w:rsid w:val="00270E92"/>
    <w:rsid w:val="002717F0"/>
    <w:rsid w:val="002745DA"/>
    <w:rsid w:val="002767B8"/>
    <w:rsid w:val="0027680F"/>
    <w:rsid w:val="0028070B"/>
    <w:rsid w:val="00281077"/>
    <w:rsid w:val="00282D53"/>
    <w:rsid w:val="002836DD"/>
    <w:rsid w:val="00287BF9"/>
    <w:rsid w:val="00290AE9"/>
    <w:rsid w:val="00291878"/>
    <w:rsid w:val="002928DA"/>
    <w:rsid w:val="00296465"/>
    <w:rsid w:val="002A210A"/>
    <w:rsid w:val="002A71A6"/>
    <w:rsid w:val="002A78C2"/>
    <w:rsid w:val="002B0A7D"/>
    <w:rsid w:val="002B1F95"/>
    <w:rsid w:val="002B2462"/>
    <w:rsid w:val="002B447A"/>
    <w:rsid w:val="002B59D3"/>
    <w:rsid w:val="002B74FA"/>
    <w:rsid w:val="002C0A0D"/>
    <w:rsid w:val="002C3517"/>
    <w:rsid w:val="002C4127"/>
    <w:rsid w:val="002C51AF"/>
    <w:rsid w:val="002C7B21"/>
    <w:rsid w:val="002D10D4"/>
    <w:rsid w:val="002D6044"/>
    <w:rsid w:val="002D6660"/>
    <w:rsid w:val="002E1ED9"/>
    <w:rsid w:val="002E41F0"/>
    <w:rsid w:val="002F23F4"/>
    <w:rsid w:val="002F6589"/>
    <w:rsid w:val="00303A18"/>
    <w:rsid w:val="00303B6E"/>
    <w:rsid w:val="00303E68"/>
    <w:rsid w:val="0030601D"/>
    <w:rsid w:val="00313D0E"/>
    <w:rsid w:val="00314491"/>
    <w:rsid w:val="0031495A"/>
    <w:rsid w:val="00315026"/>
    <w:rsid w:val="003151C1"/>
    <w:rsid w:val="00320F82"/>
    <w:rsid w:val="00321266"/>
    <w:rsid w:val="00322FC8"/>
    <w:rsid w:val="00323B6B"/>
    <w:rsid w:val="00324AC6"/>
    <w:rsid w:val="00325B7C"/>
    <w:rsid w:val="00325BD6"/>
    <w:rsid w:val="00327A63"/>
    <w:rsid w:val="00330521"/>
    <w:rsid w:val="0033251B"/>
    <w:rsid w:val="00333F2B"/>
    <w:rsid w:val="00334E5B"/>
    <w:rsid w:val="00335334"/>
    <w:rsid w:val="0033705A"/>
    <w:rsid w:val="00341522"/>
    <w:rsid w:val="00342741"/>
    <w:rsid w:val="0034505C"/>
    <w:rsid w:val="003528EE"/>
    <w:rsid w:val="00352A8C"/>
    <w:rsid w:val="00355FF4"/>
    <w:rsid w:val="0036426E"/>
    <w:rsid w:val="003675E8"/>
    <w:rsid w:val="0036787E"/>
    <w:rsid w:val="003679FC"/>
    <w:rsid w:val="00367DE5"/>
    <w:rsid w:val="00367F05"/>
    <w:rsid w:val="00372866"/>
    <w:rsid w:val="00372AA1"/>
    <w:rsid w:val="003737ED"/>
    <w:rsid w:val="0037405F"/>
    <w:rsid w:val="0037583C"/>
    <w:rsid w:val="00375A6A"/>
    <w:rsid w:val="00381E63"/>
    <w:rsid w:val="003825A7"/>
    <w:rsid w:val="00384377"/>
    <w:rsid w:val="003860BB"/>
    <w:rsid w:val="00386C56"/>
    <w:rsid w:val="00387396"/>
    <w:rsid w:val="00394693"/>
    <w:rsid w:val="00394BC2"/>
    <w:rsid w:val="003A02F8"/>
    <w:rsid w:val="003A0367"/>
    <w:rsid w:val="003A560E"/>
    <w:rsid w:val="003A6246"/>
    <w:rsid w:val="003A73F9"/>
    <w:rsid w:val="003B0ADE"/>
    <w:rsid w:val="003B0F71"/>
    <w:rsid w:val="003B3E96"/>
    <w:rsid w:val="003B625B"/>
    <w:rsid w:val="003C013C"/>
    <w:rsid w:val="003C3D91"/>
    <w:rsid w:val="003C4B93"/>
    <w:rsid w:val="003C7566"/>
    <w:rsid w:val="003C7CFB"/>
    <w:rsid w:val="003D0D73"/>
    <w:rsid w:val="003D75DF"/>
    <w:rsid w:val="003E04C6"/>
    <w:rsid w:val="003E0E69"/>
    <w:rsid w:val="003E4F45"/>
    <w:rsid w:val="003E5444"/>
    <w:rsid w:val="003F3DC5"/>
    <w:rsid w:val="003F49B2"/>
    <w:rsid w:val="003F5681"/>
    <w:rsid w:val="003F74BD"/>
    <w:rsid w:val="0040467E"/>
    <w:rsid w:val="00404A94"/>
    <w:rsid w:val="00406519"/>
    <w:rsid w:val="00406A4D"/>
    <w:rsid w:val="0041043B"/>
    <w:rsid w:val="004137F3"/>
    <w:rsid w:val="00414B1E"/>
    <w:rsid w:val="0041524B"/>
    <w:rsid w:val="004167A6"/>
    <w:rsid w:val="00416F7E"/>
    <w:rsid w:val="00417E64"/>
    <w:rsid w:val="00420F4B"/>
    <w:rsid w:val="00421F7F"/>
    <w:rsid w:val="00422232"/>
    <w:rsid w:val="00422C21"/>
    <w:rsid w:val="00425D31"/>
    <w:rsid w:val="00427125"/>
    <w:rsid w:val="00432D54"/>
    <w:rsid w:val="0043393D"/>
    <w:rsid w:val="00434A91"/>
    <w:rsid w:val="004361FB"/>
    <w:rsid w:val="00436EAA"/>
    <w:rsid w:val="0044207B"/>
    <w:rsid w:val="00442D9B"/>
    <w:rsid w:val="00446BAD"/>
    <w:rsid w:val="004521F4"/>
    <w:rsid w:val="0045364E"/>
    <w:rsid w:val="00456048"/>
    <w:rsid w:val="004561FB"/>
    <w:rsid w:val="00456AEB"/>
    <w:rsid w:val="00456B11"/>
    <w:rsid w:val="00457F27"/>
    <w:rsid w:val="00460A41"/>
    <w:rsid w:val="00462396"/>
    <w:rsid w:val="0046628B"/>
    <w:rsid w:val="00470D62"/>
    <w:rsid w:val="00470EBC"/>
    <w:rsid w:val="0048158E"/>
    <w:rsid w:val="00481E6F"/>
    <w:rsid w:val="00483C59"/>
    <w:rsid w:val="00483C7E"/>
    <w:rsid w:val="00484D06"/>
    <w:rsid w:val="00485130"/>
    <w:rsid w:val="00485D5F"/>
    <w:rsid w:val="00485FD9"/>
    <w:rsid w:val="004903D9"/>
    <w:rsid w:val="004926A3"/>
    <w:rsid w:val="00492E5F"/>
    <w:rsid w:val="00493D6F"/>
    <w:rsid w:val="004945C5"/>
    <w:rsid w:val="0049757B"/>
    <w:rsid w:val="00497789"/>
    <w:rsid w:val="004A0601"/>
    <w:rsid w:val="004A0657"/>
    <w:rsid w:val="004A1BC6"/>
    <w:rsid w:val="004A1FE0"/>
    <w:rsid w:val="004A2E5C"/>
    <w:rsid w:val="004B0357"/>
    <w:rsid w:val="004B1657"/>
    <w:rsid w:val="004B2E9F"/>
    <w:rsid w:val="004B3050"/>
    <w:rsid w:val="004B330C"/>
    <w:rsid w:val="004B5144"/>
    <w:rsid w:val="004C1C98"/>
    <w:rsid w:val="004C50BE"/>
    <w:rsid w:val="004C6BD1"/>
    <w:rsid w:val="004D12DC"/>
    <w:rsid w:val="004D26A1"/>
    <w:rsid w:val="004D53FF"/>
    <w:rsid w:val="004D6814"/>
    <w:rsid w:val="004E33F6"/>
    <w:rsid w:val="004E41B8"/>
    <w:rsid w:val="004E6BC5"/>
    <w:rsid w:val="004E79F4"/>
    <w:rsid w:val="004F0336"/>
    <w:rsid w:val="004F42AE"/>
    <w:rsid w:val="004F686D"/>
    <w:rsid w:val="00501514"/>
    <w:rsid w:val="00501572"/>
    <w:rsid w:val="00504427"/>
    <w:rsid w:val="00505F74"/>
    <w:rsid w:val="005060EE"/>
    <w:rsid w:val="00506E6C"/>
    <w:rsid w:val="00507972"/>
    <w:rsid w:val="00510ED1"/>
    <w:rsid w:val="005132FC"/>
    <w:rsid w:val="00513301"/>
    <w:rsid w:val="00517DBB"/>
    <w:rsid w:val="00520004"/>
    <w:rsid w:val="005206CE"/>
    <w:rsid w:val="00520B0F"/>
    <w:rsid w:val="00520D5A"/>
    <w:rsid w:val="0052199B"/>
    <w:rsid w:val="00521CCA"/>
    <w:rsid w:val="00523406"/>
    <w:rsid w:val="00523E56"/>
    <w:rsid w:val="00527DB0"/>
    <w:rsid w:val="00530367"/>
    <w:rsid w:val="00530D5D"/>
    <w:rsid w:val="00532C4E"/>
    <w:rsid w:val="00537458"/>
    <w:rsid w:val="00540FF7"/>
    <w:rsid w:val="00543DC7"/>
    <w:rsid w:val="005443C4"/>
    <w:rsid w:val="005445AD"/>
    <w:rsid w:val="00544BDC"/>
    <w:rsid w:val="00546A8A"/>
    <w:rsid w:val="005513CF"/>
    <w:rsid w:val="00552CB2"/>
    <w:rsid w:val="00555F6D"/>
    <w:rsid w:val="0056026A"/>
    <w:rsid w:val="00563C5B"/>
    <w:rsid w:val="00565AFB"/>
    <w:rsid w:val="00565E38"/>
    <w:rsid w:val="00566805"/>
    <w:rsid w:val="00571125"/>
    <w:rsid w:val="00573510"/>
    <w:rsid w:val="00573FC7"/>
    <w:rsid w:val="005779FB"/>
    <w:rsid w:val="005813BF"/>
    <w:rsid w:val="005821A3"/>
    <w:rsid w:val="005923D2"/>
    <w:rsid w:val="0059761B"/>
    <w:rsid w:val="005A06F2"/>
    <w:rsid w:val="005B3FF7"/>
    <w:rsid w:val="005B4250"/>
    <w:rsid w:val="005B4ECA"/>
    <w:rsid w:val="005B581E"/>
    <w:rsid w:val="005B6A52"/>
    <w:rsid w:val="005C4B50"/>
    <w:rsid w:val="005C5D60"/>
    <w:rsid w:val="005C5F9A"/>
    <w:rsid w:val="005D1A0C"/>
    <w:rsid w:val="005D217D"/>
    <w:rsid w:val="005D31BF"/>
    <w:rsid w:val="005D3309"/>
    <w:rsid w:val="005E0572"/>
    <w:rsid w:val="005E2169"/>
    <w:rsid w:val="005E2C18"/>
    <w:rsid w:val="005E735C"/>
    <w:rsid w:val="005F0B05"/>
    <w:rsid w:val="005F181F"/>
    <w:rsid w:val="005F1E13"/>
    <w:rsid w:val="005F261A"/>
    <w:rsid w:val="005F2BD8"/>
    <w:rsid w:val="0060051A"/>
    <w:rsid w:val="006036D2"/>
    <w:rsid w:val="006037F6"/>
    <w:rsid w:val="00603985"/>
    <w:rsid w:val="0060455F"/>
    <w:rsid w:val="006070B0"/>
    <w:rsid w:val="00610256"/>
    <w:rsid w:val="00610A79"/>
    <w:rsid w:val="00615BB4"/>
    <w:rsid w:val="00621B4D"/>
    <w:rsid w:val="00621CDF"/>
    <w:rsid w:val="00622C70"/>
    <w:rsid w:val="00623E92"/>
    <w:rsid w:val="00627DBA"/>
    <w:rsid w:val="00630575"/>
    <w:rsid w:val="00633082"/>
    <w:rsid w:val="006358DB"/>
    <w:rsid w:val="006513A2"/>
    <w:rsid w:val="0065284C"/>
    <w:rsid w:val="00654878"/>
    <w:rsid w:val="00654BB0"/>
    <w:rsid w:val="00657BF0"/>
    <w:rsid w:val="0066182B"/>
    <w:rsid w:val="0066324B"/>
    <w:rsid w:val="006732C3"/>
    <w:rsid w:val="006735D4"/>
    <w:rsid w:val="00674A31"/>
    <w:rsid w:val="00680B49"/>
    <w:rsid w:val="00683A11"/>
    <w:rsid w:val="00685BDA"/>
    <w:rsid w:val="00691A54"/>
    <w:rsid w:val="00692802"/>
    <w:rsid w:val="00693835"/>
    <w:rsid w:val="00693E03"/>
    <w:rsid w:val="00694533"/>
    <w:rsid w:val="00694DFF"/>
    <w:rsid w:val="00696470"/>
    <w:rsid w:val="00697869"/>
    <w:rsid w:val="006A30CA"/>
    <w:rsid w:val="006A4568"/>
    <w:rsid w:val="006B1830"/>
    <w:rsid w:val="006B338F"/>
    <w:rsid w:val="006B3831"/>
    <w:rsid w:val="006B5CDC"/>
    <w:rsid w:val="006C19D2"/>
    <w:rsid w:val="006C4175"/>
    <w:rsid w:val="006C455A"/>
    <w:rsid w:val="006C4633"/>
    <w:rsid w:val="006C49A5"/>
    <w:rsid w:val="006C6325"/>
    <w:rsid w:val="006C74FA"/>
    <w:rsid w:val="006D0EC6"/>
    <w:rsid w:val="006D39D0"/>
    <w:rsid w:val="006D4B4C"/>
    <w:rsid w:val="006D6C9D"/>
    <w:rsid w:val="006D7A68"/>
    <w:rsid w:val="006D7E50"/>
    <w:rsid w:val="006E0599"/>
    <w:rsid w:val="006E230C"/>
    <w:rsid w:val="006E26E4"/>
    <w:rsid w:val="006E35E2"/>
    <w:rsid w:val="006E39DC"/>
    <w:rsid w:val="006E58B8"/>
    <w:rsid w:val="006F09BA"/>
    <w:rsid w:val="006F3C1A"/>
    <w:rsid w:val="006F4687"/>
    <w:rsid w:val="006F5DBE"/>
    <w:rsid w:val="006F69CB"/>
    <w:rsid w:val="006F79C3"/>
    <w:rsid w:val="006F7F14"/>
    <w:rsid w:val="00702B38"/>
    <w:rsid w:val="00702BF0"/>
    <w:rsid w:val="00704AB3"/>
    <w:rsid w:val="007056A7"/>
    <w:rsid w:val="00707BC9"/>
    <w:rsid w:val="00712CF8"/>
    <w:rsid w:val="0071363A"/>
    <w:rsid w:val="00713F37"/>
    <w:rsid w:val="007266ED"/>
    <w:rsid w:val="007279F8"/>
    <w:rsid w:val="007303AB"/>
    <w:rsid w:val="007315DB"/>
    <w:rsid w:val="00735474"/>
    <w:rsid w:val="00735C8A"/>
    <w:rsid w:val="00737CF7"/>
    <w:rsid w:val="00741F1E"/>
    <w:rsid w:val="00743F00"/>
    <w:rsid w:val="007509C5"/>
    <w:rsid w:val="00753D8D"/>
    <w:rsid w:val="00753FA3"/>
    <w:rsid w:val="00755BB6"/>
    <w:rsid w:val="00756C8C"/>
    <w:rsid w:val="00757D4C"/>
    <w:rsid w:val="00757E50"/>
    <w:rsid w:val="00760250"/>
    <w:rsid w:val="00763DD7"/>
    <w:rsid w:val="0076656D"/>
    <w:rsid w:val="00770ED4"/>
    <w:rsid w:val="007829A4"/>
    <w:rsid w:val="00785F60"/>
    <w:rsid w:val="00787089"/>
    <w:rsid w:val="00791659"/>
    <w:rsid w:val="00794B88"/>
    <w:rsid w:val="00795591"/>
    <w:rsid w:val="007966AF"/>
    <w:rsid w:val="007A2CE0"/>
    <w:rsid w:val="007A4745"/>
    <w:rsid w:val="007A495C"/>
    <w:rsid w:val="007B13A2"/>
    <w:rsid w:val="007B1BB2"/>
    <w:rsid w:val="007B256D"/>
    <w:rsid w:val="007B27AC"/>
    <w:rsid w:val="007B2BD1"/>
    <w:rsid w:val="007C0CD4"/>
    <w:rsid w:val="007C13ED"/>
    <w:rsid w:val="007C2D11"/>
    <w:rsid w:val="007C3050"/>
    <w:rsid w:val="007C645E"/>
    <w:rsid w:val="007C6ADC"/>
    <w:rsid w:val="007D2622"/>
    <w:rsid w:val="007D3BBF"/>
    <w:rsid w:val="007D49DA"/>
    <w:rsid w:val="007D51A4"/>
    <w:rsid w:val="007D794E"/>
    <w:rsid w:val="007E2DB6"/>
    <w:rsid w:val="007E5EDA"/>
    <w:rsid w:val="007E7C89"/>
    <w:rsid w:val="007F27B4"/>
    <w:rsid w:val="007F2EA4"/>
    <w:rsid w:val="007F44B6"/>
    <w:rsid w:val="007F6E77"/>
    <w:rsid w:val="00801573"/>
    <w:rsid w:val="00801973"/>
    <w:rsid w:val="0080252A"/>
    <w:rsid w:val="008051CA"/>
    <w:rsid w:val="00806C2E"/>
    <w:rsid w:val="00807144"/>
    <w:rsid w:val="0081024D"/>
    <w:rsid w:val="00816523"/>
    <w:rsid w:val="00817506"/>
    <w:rsid w:val="008204CA"/>
    <w:rsid w:val="008215FC"/>
    <w:rsid w:val="0082210E"/>
    <w:rsid w:val="0082291D"/>
    <w:rsid w:val="00825F9F"/>
    <w:rsid w:val="00831F03"/>
    <w:rsid w:val="00836A3B"/>
    <w:rsid w:val="00837766"/>
    <w:rsid w:val="008433E0"/>
    <w:rsid w:val="00850D6A"/>
    <w:rsid w:val="0085695D"/>
    <w:rsid w:val="0086223C"/>
    <w:rsid w:val="00863131"/>
    <w:rsid w:val="0086360F"/>
    <w:rsid w:val="008658A9"/>
    <w:rsid w:val="00865CD1"/>
    <w:rsid w:val="008676BC"/>
    <w:rsid w:val="00870212"/>
    <w:rsid w:val="008717F9"/>
    <w:rsid w:val="00877043"/>
    <w:rsid w:val="00884BEA"/>
    <w:rsid w:val="00884E16"/>
    <w:rsid w:val="00884F8D"/>
    <w:rsid w:val="0088682D"/>
    <w:rsid w:val="00887A29"/>
    <w:rsid w:val="008907BC"/>
    <w:rsid w:val="0089359F"/>
    <w:rsid w:val="00893B1D"/>
    <w:rsid w:val="00894140"/>
    <w:rsid w:val="00895458"/>
    <w:rsid w:val="00897D47"/>
    <w:rsid w:val="008A0FF8"/>
    <w:rsid w:val="008A492F"/>
    <w:rsid w:val="008A5604"/>
    <w:rsid w:val="008A5AA2"/>
    <w:rsid w:val="008A6983"/>
    <w:rsid w:val="008A7B09"/>
    <w:rsid w:val="008B203A"/>
    <w:rsid w:val="008B250C"/>
    <w:rsid w:val="008B2625"/>
    <w:rsid w:val="008B3A9B"/>
    <w:rsid w:val="008B4941"/>
    <w:rsid w:val="008B5D7E"/>
    <w:rsid w:val="008B763F"/>
    <w:rsid w:val="008C3BF9"/>
    <w:rsid w:val="008C46B5"/>
    <w:rsid w:val="008C5160"/>
    <w:rsid w:val="008C7171"/>
    <w:rsid w:val="008D2069"/>
    <w:rsid w:val="008D49ED"/>
    <w:rsid w:val="008E0EC4"/>
    <w:rsid w:val="008E69FB"/>
    <w:rsid w:val="008F0257"/>
    <w:rsid w:val="008F1B1C"/>
    <w:rsid w:val="008F33A5"/>
    <w:rsid w:val="008F65D9"/>
    <w:rsid w:val="008F6A2C"/>
    <w:rsid w:val="009005B7"/>
    <w:rsid w:val="009020C5"/>
    <w:rsid w:val="00903BE2"/>
    <w:rsid w:val="00910EA0"/>
    <w:rsid w:val="009142FD"/>
    <w:rsid w:val="00917209"/>
    <w:rsid w:val="009177FF"/>
    <w:rsid w:val="0092196D"/>
    <w:rsid w:val="00921E3D"/>
    <w:rsid w:val="00925201"/>
    <w:rsid w:val="009275F7"/>
    <w:rsid w:val="009302E7"/>
    <w:rsid w:val="00931956"/>
    <w:rsid w:val="009341B5"/>
    <w:rsid w:val="00937C07"/>
    <w:rsid w:val="00944925"/>
    <w:rsid w:val="00946F98"/>
    <w:rsid w:val="00952724"/>
    <w:rsid w:val="009547AA"/>
    <w:rsid w:val="00955DC8"/>
    <w:rsid w:val="0095647C"/>
    <w:rsid w:val="00957439"/>
    <w:rsid w:val="00960106"/>
    <w:rsid w:val="00960FDF"/>
    <w:rsid w:val="00962B1C"/>
    <w:rsid w:val="009650CC"/>
    <w:rsid w:val="00970829"/>
    <w:rsid w:val="009724D2"/>
    <w:rsid w:val="00972AB9"/>
    <w:rsid w:val="00974732"/>
    <w:rsid w:val="009771C2"/>
    <w:rsid w:val="009779CF"/>
    <w:rsid w:val="00980027"/>
    <w:rsid w:val="009806F0"/>
    <w:rsid w:val="009817F4"/>
    <w:rsid w:val="00982416"/>
    <w:rsid w:val="009825AC"/>
    <w:rsid w:val="0098308A"/>
    <w:rsid w:val="00985735"/>
    <w:rsid w:val="0098620D"/>
    <w:rsid w:val="009A16F5"/>
    <w:rsid w:val="009A232C"/>
    <w:rsid w:val="009A2922"/>
    <w:rsid w:val="009A7CB3"/>
    <w:rsid w:val="009B0042"/>
    <w:rsid w:val="009B2D5C"/>
    <w:rsid w:val="009B3D5C"/>
    <w:rsid w:val="009C3EEC"/>
    <w:rsid w:val="009C691B"/>
    <w:rsid w:val="009C77B5"/>
    <w:rsid w:val="009D0730"/>
    <w:rsid w:val="009D1895"/>
    <w:rsid w:val="009D207E"/>
    <w:rsid w:val="009D3716"/>
    <w:rsid w:val="009D7ECD"/>
    <w:rsid w:val="009E0761"/>
    <w:rsid w:val="009E142C"/>
    <w:rsid w:val="009E22CD"/>
    <w:rsid w:val="009E2C26"/>
    <w:rsid w:val="009E4FFA"/>
    <w:rsid w:val="009E5019"/>
    <w:rsid w:val="009E73D1"/>
    <w:rsid w:val="009E79CA"/>
    <w:rsid w:val="009E7FD3"/>
    <w:rsid w:val="009F1670"/>
    <w:rsid w:val="009F20EB"/>
    <w:rsid w:val="00A01F35"/>
    <w:rsid w:val="00A02756"/>
    <w:rsid w:val="00A03270"/>
    <w:rsid w:val="00A03DB5"/>
    <w:rsid w:val="00A06EFE"/>
    <w:rsid w:val="00A10B3E"/>
    <w:rsid w:val="00A116DB"/>
    <w:rsid w:val="00A164C2"/>
    <w:rsid w:val="00A175DA"/>
    <w:rsid w:val="00A176A9"/>
    <w:rsid w:val="00A20FBE"/>
    <w:rsid w:val="00A2224C"/>
    <w:rsid w:val="00A267E4"/>
    <w:rsid w:val="00A26B62"/>
    <w:rsid w:val="00A32059"/>
    <w:rsid w:val="00A3279B"/>
    <w:rsid w:val="00A32904"/>
    <w:rsid w:val="00A3362F"/>
    <w:rsid w:val="00A33942"/>
    <w:rsid w:val="00A3564F"/>
    <w:rsid w:val="00A40CF6"/>
    <w:rsid w:val="00A41E3C"/>
    <w:rsid w:val="00A47158"/>
    <w:rsid w:val="00A47EE4"/>
    <w:rsid w:val="00A50143"/>
    <w:rsid w:val="00A5593A"/>
    <w:rsid w:val="00A55D2D"/>
    <w:rsid w:val="00A56C20"/>
    <w:rsid w:val="00A56CDA"/>
    <w:rsid w:val="00A56D8F"/>
    <w:rsid w:val="00A63B80"/>
    <w:rsid w:val="00A650C1"/>
    <w:rsid w:val="00A672FF"/>
    <w:rsid w:val="00A7200A"/>
    <w:rsid w:val="00A728AA"/>
    <w:rsid w:val="00A730B9"/>
    <w:rsid w:val="00A7439C"/>
    <w:rsid w:val="00A7507E"/>
    <w:rsid w:val="00A772E4"/>
    <w:rsid w:val="00A77D8B"/>
    <w:rsid w:val="00A816A1"/>
    <w:rsid w:val="00A839CF"/>
    <w:rsid w:val="00A84EE8"/>
    <w:rsid w:val="00A87ABE"/>
    <w:rsid w:val="00A9169E"/>
    <w:rsid w:val="00A946F4"/>
    <w:rsid w:val="00A947C2"/>
    <w:rsid w:val="00A957D3"/>
    <w:rsid w:val="00A97094"/>
    <w:rsid w:val="00A97D97"/>
    <w:rsid w:val="00AA0160"/>
    <w:rsid w:val="00AA1C0D"/>
    <w:rsid w:val="00AA3616"/>
    <w:rsid w:val="00AA4A54"/>
    <w:rsid w:val="00AA5D8E"/>
    <w:rsid w:val="00AB40A7"/>
    <w:rsid w:val="00AC0302"/>
    <w:rsid w:val="00AC05A6"/>
    <w:rsid w:val="00AC0A4D"/>
    <w:rsid w:val="00AC2350"/>
    <w:rsid w:val="00AC2A2F"/>
    <w:rsid w:val="00AC6222"/>
    <w:rsid w:val="00AC6390"/>
    <w:rsid w:val="00AD194B"/>
    <w:rsid w:val="00AD207C"/>
    <w:rsid w:val="00AD2FA9"/>
    <w:rsid w:val="00AD535F"/>
    <w:rsid w:val="00AD5C5D"/>
    <w:rsid w:val="00AD61B5"/>
    <w:rsid w:val="00AE203D"/>
    <w:rsid w:val="00AE213F"/>
    <w:rsid w:val="00AE3477"/>
    <w:rsid w:val="00AE55EF"/>
    <w:rsid w:val="00AE732E"/>
    <w:rsid w:val="00AF22CC"/>
    <w:rsid w:val="00AF4241"/>
    <w:rsid w:val="00AF4993"/>
    <w:rsid w:val="00B013BC"/>
    <w:rsid w:val="00B02232"/>
    <w:rsid w:val="00B03B56"/>
    <w:rsid w:val="00B076AC"/>
    <w:rsid w:val="00B119A9"/>
    <w:rsid w:val="00B15278"/>
    <w:rsid w:val="00B174B8"/>
    <w:rsid w:val="00B2270A"/>
    <w:rsid w:val="00B2295E"/>
    <w:rsid w:val="00B237B5"/>
    <w:rsid w:val="00B277DD"/>
    <w:rsid w:val="00B27DE4"/>
    <w:rsid w:val="00B356CC"/>
    <w:rsid w:val="00B35AB5"/>
    <w:rsid w:val="00B360C4"/>
    <w:rsid w:val="00B36E76"/>
    <w:rsid w:val="00B3774F"/>
    <w:rsid w:val="00B403D1"/>
    <w:rsid w:val="00B41BA4"/>
    <w:rsid w:val="00B42CBD"/>
    <w:rsid w:val="00B43563"/>
    <w:rsid w:val="00B43EAB"/>
    <w:rsid w:val="00B5040F"/>
    <w:rsid w:val="00B51CC8"/>
    <w:rsid w:val="00B555A7"/>
    <w:rsid w:val="00B61F58"/>
    <w:rsid w:val="00B65EEC"/>
    <w:rsid w:val="00B802A2"/>
    <w:rsid w:val="00B80C12"/>
    <w:rsid w:val="00B83385"/>
    <w:rsid w:val="00B83DD8"/>
    <w:rsid w:val="00B84C23"/>
    <w:rsid w:val="00B86F54"/>
    <w:rsid w:val="00B9195D"/>
    <w:rsid w:val="00B95304"/>
    <w:rsid w:val="00B963CE"/>
    <w:rsid w:val="00B968CF"/>
    <w:rsid w:val="00BA081A"/>
    <w:rsid w:val="00BA164C"/>
    <w:rsid w:val="00BA317E"/>
    <w:rsid w:val="00BA3D1E"/>
    <w:rsid w:val="00BA71FB"/>
    <w:rsid w:val="00BB0E21"/>
    <w:rsid w:val="00BB179D"/>
    <w:rsid w:val="00BB4C71"/>
    <w:rsid w:val="00BC11CA"/>
    <w:rsid w:val="00BC156A"/>
    <w:rsid w:val="00BC2F69"/>
    <w:rsid w:val="00BC6BF2"/>
    <w:rsid w:val="00BD112C"/>
    <w:rsid w:val="00BD128F"/>
    <w:rsid w:val="00BD1F5B"/>
    <w:rsid w:val="00BD29F7"/>
    <w:rsid w:val="00BD2B14"/>
    <w:rsid w:val="00BD4423"/>
    <w:rsid w:val="00BD49CD"/>
    <w:rsid w:val="00BD689D"/>
    <w:rsid w:val="00BD7051"/>
    <w:rsid w:val="00BD7562"/>
    <w:rsid w:val="00BD776E"/>
    <w:rsid w:val="00BE0D7D"/>
    <w:rsid w:val="00BE1217"/>
    <w:rsid w:val="00BE37B5"/>
    <w:rsid w:val="00BE49C7"/>
    <w:rsid w:val="00BF299C"/>
    <w:rsid w:val="00BF66E8"/>
    <w:rsid w:val="00BF6C8D"/>
    <w:rsid w:val="00BF75C5"/>
    <w:rsid w:val="00C00B7B"/>
    <w:rsid w:val="00C01111"/>
    <w:rsid w:val="00C02510"/>
    <w:rsid w:val="00C02907"/>
    <w:rsid w:val="00C040E2"/>
    <w:rsid w:val="00C04933"/>
    <w:rsid w:val="00C05F75"/>
    <w:rsid w:val="00C113C6"/>
    <w:rsid w:val="00C13A6E"/>
    <w:rsid w:val="00C15006"/>
    <w:rsid w:val="00C20FB6"/>
    <w:rsid w:val="00C24D14"/>
    <w:rsid w:val="00C260DE"/>
    <w:rsid w:val="00C26BD3"/>
    <w:rsid w:val="00C3182E"/>
    <w:rsid w:val="00C323F7"/>
    <w:rsid w:val="00C343C6"/>
    <w:rsid w:val="00C35436"/>
    <w:rsid w:val="00C35C67"/>
    <w:rsid w:val="00C35E01"/>
    <w:rsid w:val="00C362D6"/>
    <w:rsid w:val="00C4275B"/>
    <w:rsid w:val="00C4327A"/>
    <w:rsid w:val="00C45830"/>
    <w:rsid w:val="00C46712"/>
    <w:rsid w:val="00C47F23"/>
    <w:rsid w:val="00C51CF4"/>
    <w:rsid w:val="00C53617"/>
    <w:rsid w:val="00C550F3"/>
    <w:rsid w:val="00C56448"/>
    <w:rsid w:val="00C6281F"/>
    <w:rsid w:val="00C62B85"/>
    <w:rsid w:val="00C62BD4"/>
    <w:rsid w:val="00C63339"/>
    <w:rsid w:val="00C64B78"/>
    <w:rsid w:val="00C64D11"/>
    <w:rsid w:val="00C66589"/>
    <w:rsid w:val="00C66812"/>
    <w:rsid w:val="00C66ADE"/>
    <w:rsid w:val="00C66C39"/>
    <w:rsid w:val="00C66D1C"/>
    <w:rsid w:val="00C67128"/>
    <w:rsid w:val="00C71704"/>
    <w:rsid w:val="00C71FE8"/>
    <w:rsid w:val="00C72420"/>
    <w:rsid w:val="00C72745"/>
    <w:rsid w:val="00C72B84"/>
    <w:rsid w:val="00C7669D"/>
    <w:rsid w:val="00C80631"/>
    <w:rsid w:val="00C810B6"/>
    <w:rsid w:val="00C81133"/>
    <w:rsid w:val="00C8253F"/>
    <w:rsid w:val="00C836A4"/>
    <w:rsid w:val="00C85F9B"/>
    <w:rsid w:val="00C86307"/>
    <w:rsid w:val="00C91C0C"/>
    <w:rsid w:val="00C91E29"/>
    <w:rsid w:val="00C94E9B"/>
    <w:rsid w:val="00C969C6"/>
    <w:rsid w:val="00C97F17"/>
    <w:rsid w:val="00CA0D1B"/>
    <w:rsid w:val="00CA37C9"/>
    <w:rsid w:val="00CA61E9"/>
    <w:rsid w:val="00CA686E"/>
    <w:rsid w:val="00CA6904"/>
    <w:rsid w:val="00CB0D9F"/>
    <w:rsid w:val="00CB2394"/>
    <w:rsid w:val="00CB3B74"/>
    <w:rsid w:val="00CB51C5"/>
    <w:rsid w:val="00CB5564"/>
    <w:rsid w:val="00CC087B"/>
    <w:rsid w:val="00CC0AD5"/>
    <w:rsid w:val="00CC131F"/>
    <w:rsid w:val="00CC3436"/>
    <w:rsid w:val="00CC4416"/>
    <w:rsid w:val="00CC49F1"/>
    <w:rsid w:val="00CC7484"/>
    <w:rsid w:val="00CD404D"/>
    <w:rsid w:val="00CD5701"/>
    <w:rsid w:val="00CD6DC7"/>
    <w:rsid w:val="00CE1705"/>
    <w:rsid w:val="00CE1A05"/>
    <w:rsid w:val="00CE4595"/>
    <w:rsid w:val="00CE6E3B"/>
    <w:rsid w:val="00CE72C9"/>
    <w:rsid w:val="00CE7411"/>
    <w:rsid w:val="00CF104C"/>
    <w:rsid w:val="00CF1A1B"/>
    <w:rsid w:val="00CF1B7B"/>
    <w:rsid w:val="00CF3750"/>
    <w:rsid w:val="00CF38B3"/>
    <w:rsid w:val="00CF3BC9"/>
    <w:rsid w:val="00D0132C"/>
    <w:rsid w:val="00D04B9C"/>
    <w:rsid w:val="00D0526B"/>
    <w:rsid w:val="00D06F26"/>
    <w:rsid w:val="00D11B81"/>
    <w:rsid w:val="00D12772"/>
    <w:rsid w:val="00D127D3"/>
    <w:rsid w:val="00D15DAC"/>
    <w:rsid w:val="00D15E93"/>
    <w:rsid w:val="00D17CBB"/>
    <w:rsid w:val="00D20461"/>
    <w:rsid w:val="00D206D7"/>
    <w:rsid w:val="00D22C3A"/>
    <w:rsid w:val="00D24808"/>
    <w:rsid w:val="00D24A87"/>
    <w:rsid w:val="00D264D0"/>
    <w:rsid w:val="00D27275"/>
    <w:rsid w:val="00D325F5"/>
    <w:rsid w:val="00D32987"/>
    <w:rsid w:val="00D374E8"/>
    <w:rsid w:val="00D40E2E"/>
    <w:rsid w:val="00D40FF7"/>
    <w:rsid w:val="00D421A2"/>
    <w:rsid w:val="00D51528"/>
    <w:rsid w:val="00D51CA0"/>
    <w:rsid w:val="00D520C4"/>
    <w:rsid w:val="00D534B4"/>
    <w:rsid w:val="00D551D4"/>
    <w:rsid w:val="00D5636B"/>
    <w:rsid w:val="00D56DF0"/>
    <w:rsid w:val="00D60262"/>
    <w:rsid w:val="00D60F13"/>
    <w:rsid w:val="00D63A62"/>
    <w:rsid w:val="00D65422"/>
    <w:rsid w:val="00D66C07"/>
    <w:rsid w:val="00D677CF"/>
    <w:rsid w:val="00D70298"/>
    <w:rsid w:val="00D707DC"/>
    <w:rsid w:val="00D71199"/>
    <w:rsid w:val="00D71344"/>
    <w:rsid w:val="00D72072"/>
    <w:rsid w:val="00D724DC"/>
    <w:rsid w:val="00D76249"/>
    <w:rsid w:val="00D801AE"/>
    <w:rsid w:val="00D80EEC"/>
    <w:rsid w:val="00D8184D"/>
    <w:rsid w:val="00D82BB5"/>
    <w:rsid w:val="00D82CD1"/>
    <w:rsid w:val="00D842F5"/>
    <w:rsid w:val="00D84472"/>
    <w:rsid w:val="00D849C1"/>
    <w:rsid w:val="00D92261"/>
    <w:rsid w:val="00D92561"/>
    <w:rsid w:val="00D945D0"/>
    <w:rsid w:val="00D9490B"/>
    <w:rsid w:val="00DA2733"/>
    <w:rsid w:val="00DA3E3F"/>
    <w:rsid w:val="00DA47F9"/>
    <w:rsid w:val="00DB1AB1"/>
    <w:rsid w:val="00DB5F31"/>
    <w:rsid w:val="00DB7E8A"/>
    <w:rsid w:val="00DC1814"/>
    <w:rsid w:val="00DC4CF5"/>
    <w:rsid w:val="00DC55CB"/>
    <w:rsid w:val="00DC654A"/>
    <w:rsid w:val="00DC71B8"/>
    <w:rsid w:val="00DD0CF5"/>
    <w:rsid w:val="00DD18E0"/>
    <w:rsid w:val="00DD2FFC"/>
    <w:rsid w:val="00DD38A0"/>
    <w:rsid w:val="00DD5769"/>
    <w:rsid w:val="00DD796A"/>
    <w:rsid w:val="00DE24EB"/>
    <w:rsid w:val="00DE4429"/>
    <w:rsid w:val="00DF0FE8"/>
    <w:rsid w:val="00E00E93"/>
    <w:rsid w:val="00E01261"/>
    <w:rsid w:val="00E04E81"/>
    <w:rsid w:val="00E05446"/>
    <w:rsid w:val="00E12364"/>
    <w:rsid w:val="00E12FA2"/>
    <w:rsid w:val="00E13EF4"/>
    <w:rsid w:val="00E15DE4"/>
    <w:rsid w:val="00E15DFC"/>
    <w:rsid w:val="00E237FE"/>
    <w:rsid w:val="00E270D2"/>
    <w:rsid w:val="00E32615"/>
    <w:rsid w:val="00E344C3"/>
    <w:rsid w:val="00E34519"/>
    <w:rsid w:val="00E3467D"/>
    <w:rsid w:val="00E41156"/>
    <w:rsid w:val="00E43461"/>
    <w:rsid w:val="00E4563E"/>
    <w:rsid w:val="00E45B46"/>
    <w:rsid w:val="00E46A19"/>
    <w:rsid w:val="00E47039"/>
    <w:rsid w:val="00E47D7E"/>
    <w:rsid w:val="00E51334"/>
    <w:rsid w:val="00E51DC7"/>
    <w:rsid w:val="00E563B9"/>
    <w:rsid w:val="00E56C86"/>
    <w:rsid w:val="00E6157E"/>
    <w:rsid w:val="00E670B4"/>
    <w:rsid w:val="00E67146"/>
    <w:rsid w:val="00E67618"/>
    <w:rsid w:val="00E6770B"/>
    <w:rsid w:val="00E70D9D"/>
    <w:rsid w:val="00E71928"/>
    <w:rsid w:val="00E72D73"/>
    <w:rsid w:val="00E760F4"/>
    <w:rsid w:val="00E81E63"/>
    <w:rsid w:val="00E81E8C"/>
    <w:rsid w:val="00E86406"/>
    <w:rsid w:val="00E86D17"/>
    <w:rsid w:val="00E91141"/>
    <w:rsid w:val="00E96641"/>
    <w:rsid w:val="00E974DE"/>
    <w:rsid w:val="00EA1E73"/>
    <w:rsid w:val="00EB0A2B"/>
    <w:rsid w:val="00EB19FF"/>
    <w:rsid w:val="00EB2378"/>
    <w:rsid w:val="00EB40F6"/>
    <w:rsid w:val="00EB5804"/>
    <w:rsid w:val="00EB6C9D"/>
    <w:rsid w:val="00EB764E"/>
    <w:rsid w:val="00EB7CDD"/>
    <w:rsid w:val="00EC02BF"/>
    <w:rsid w:val="00EC1D7C"/>
    <w:rsid w:val="00EC5A00"/>
    <w:rsid w:val="00EC66F4"/>
    <w:rsid w:val="00ED16A5"/>
    <w:rsid w:val="00ED2E4F"/>
    <w:rsid w:val="00ED56EF"/>
    <w:rsid w:val="00EE4AAF"/>
    <w:rsid w:val="00EF115F"/>
    <w:rsid w:val="00EF25C2"/>
    <w:rsid w:val="00EF347D"/>
    <w:rsid w:val="00EF4703"/>
    <w:rsid w:val="00EF4982"/>
    <w:rsid w:val="00EF58E3"/>
    <w:rsid w:val="00F015B1"/>
    <w:rsid w:val="00F02E4A"/>
    <w:rsid w:val="00F03373"/>
    <w:rsid w:val="00F05251"/>
    <w:rsid w:val="00F100D8"/>
    <w:rsid w:val="00F10E54"/>
    <w:rsid w:val="00F12D55"/>
    <w:rsid w:val="00F14041"/>
    <w:rsid w:val="00F1426C"/>
    <w:rsid w:val="00F17269"/>
    <w:rsid w:val="00F20925"/>
    <w:rsid w:val="00F215D3"/>
    <w:rsid w:val="00F23F6A"/>
    <w:rsid w:val="00F25B9C"/>
    <w:rsid w:val="00F26C9E"/>
    <w:rsid w:val="00F27A39"/>
    <w:rsid w:val="00F27ACC"/>
    <w:rsid w:val="00F30134"/>
    <w:rsid w:val="00F30E48"/>
    <w:rsid w:val="00F33BF9"/>
    <w:rsid w:val="00F33C99"/>
    <w:rsid w:val="00F371C2"/>
    <w:rsid w:val="00F41B58"/>
    <w:rsid w:val="00F42DBE"/>
    <w:rsid w:val="00F42F77"/>
    <w:rsid w:val="00F466A8"/>
    <w:rsid w:val="00F512A2"/>
    <w:rsid w:val="00F54667"/>
    <w:rsid w:val="00F54FBB"/>
    <w:rsid w:val="00F550E3"/>
    <w:rsid w:val="00F568A7"/>
    <w:rsid w:val="00F5698D"/>
    <w:rsid w:val="00F62BA9"/>
    <w:rsid w:val="00F6334E"/>
    <w:rsid w:val="00F65740"/>
    <w:rsid w:val="00F70A61"/>
    <w:rsid w:val="00F71A4B"/>
    <w:rsid w:val="00F723A0"/>
    <w:rsid w:val="00F73F69"/>
    <w:rsid w:val="00F77B12"/>
    <w:rsid w:val="00F84055"/>
    <w:rsid w:val="00F84E19"/>
    <w:rsid w:val="00F85010"/>
    <w:rsid w:val="00F853B6"/>
    <w:rsid w:val="00F96161"/>
    <w:rsid w:val="00F96475"/>
    <w:rsid w:val="00FA08C8"/>
    <w:rsid w:val="00FA1B7B"/>
    <w:rsid w:val="00FA268B"/>
    <w:rsid w:val="00FA2B8C"/>
    <w:rsid w:val="00FA5FA5"/>
    <w:rsid w:val="00FA7010"/>
    <w:rsid w:val="00FB2857"/>
    <w:rsid w:val="00FB31F6"/>
    <w:rsid w:val="00FB4266"/>
    <w:rsid w:val="00FB632A"/>
    <w:rsid w:val="00FC765B"/>
    <w:rsid w:val="00FD3BF5"/>
    <w:rsid w:val="00FD3F21"/>
    <w:rsid w:val="00FD6EB5"/>
    <w:rsid w:val="00FE1749"/>
    <w:rsid w:val="00FE2311"/>
    <w:rsid w:val="00FE289C"/>
    <w:rsid w:val="00FE55C7"/>
    <w:rsid w:val="00FE585C"/>
    <w:rsid w:val="00FE767D"/>
    <w:rsid w:val="00FE7C0A"/>
    <w:rsid w:val="00FF10C7"/>
    <w:rsid w:val="00FF3B9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C44C5"/>
  <w15:chartTrackingRefBased/>
  <w15:docId w15:val="{43652DDC-6E8D-4437-B700-28B5B00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sz w:val="22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5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A9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A94"/>
  </w:style>
  <w:style w:type="paragraph" w:styleId="Footer">
    <w:name w:val="footer"/>
    <w:basedOn w:val="Normal"/>
    <w:link w:val="FooterChar"/>
    <w:uiPriority w:val="99"/>
    <w:unhideWhenUsed/>
    <w:rsid w:val="00404A9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A94"/>
  </w:style>
  <w:style w:type="character" w:styleId="Hyperlink">
    <w:name w:val="Hyperlink"/>
    <w:uiPriority w:val="99"/>
    <w:unhideWhenUsed/>
    <w:rsid w:val="00404A9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5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2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5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55C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B27A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1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AE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AE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1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F03"/>
    <w:pPr>
      <w:spacing w:after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5923D2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val="lt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923D2"/>
    <w:rPr>
      <w:rFonts w:ascii="Arial" w:eastAsia="Arial" w:hAnsi="Arial" w:cs="Arial"/>
      <w:sz w:val="52"/>
      <w:szCs w:val="52"/>
      <w:lang w:val="lt" w:eastAsia="en-GB"/>
    </w:rPr>
  </w:style>
  <w:style w:type="paragraph" w:customStyle="1" w:styleId="m-3097494929686872870msolistparagraph">
    <w:name w:val="m_-3097494929686872870msolistparagraph"/>
    <w:basedOn w:val="Normal"/>
    <w:rsid w:val="00B403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LT" w:eastAsia="en-GB"/>
    </w:rPr>
  </w:style>
  <w:style w:type="character" w:customStyle="1" w:styleId="ui-provider">
    <w:name w:val="ui-provider"/>
    <w:basedOn w:val="DefaultParagraphFont"/>
    <w:rsid w:val="00B61F58"/>
  </w:style>
  <w:style w:type="character" w:customStyle="1" w:styleId="hgkelc">
    <w:name w:val="hgkelc"/>
    <w:basedOn w:val="DefaultParagraphFont"/>
    <w:rsid w:val="00B61F58"/>
  </w:style>
  <w:style w:type="table" w:styleId="TableGrid">
    <w:name w:val="Table Grid"/>
    <w:basedOn w:val="TableNormal"/>
    <w:uiPriority w:val="39"/>
    <w:rsid w:val="00220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tas.stalnionis@citu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us.l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C8714-A1BD-2142-95D5-582952A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Links>
    <vt:vector size="12" baseType="variant"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http://www.citus.lt/</vt:lpwstr>
      </vt:variant>
      <vt:variant>
        <vt:lpwstr/>
      </vt:variant>
      <vt:variant>
        <vt:i4>7012376</vt:i4>
      </vt:variant>
      <vt:variant>
        <vt:i4>0</vt:i4>
      </vt:variant>
      <vt:variant>
        <vt:i4>0</vt:i4>
      </vt:variant>
      <vt:variant>
        <vt:i4>5</vt:i4>
      </vt:variant>
      <vt:variant>
        <vt:lpwstr>mailto:rytas.stalnionis@citus.lt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Rytas Stalnionis | Citus</cp:lastModifiedBy>
  <cp:revision>4</cp:revision>
  <cp:lastPrinted>2018-09-12T07:36:00Z</cp:lastPrinted>
  <dcterms:created xsi:type="dcterms:W3CDTF">2025-05-14T15:13:00Z</dcterms:created>
  <dcterms:modified xsi:type="dcterms:W3CDTF">2025-05-15T07:35:00Z</dcterms:modified>
</cp:coreProperties>
</file>