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7F0CD" w14:textId="77777777" w:rsidR="00C35D64" w:rsidRDefault="00C35D64" w:rsidP="00547C2C">
      <w:pPr>
        <w:spacing w:after="0"/>
        <w:jc w:val="both"/>
        <w:rPr>
          <w:rFonts w:ascii="Times New Roman" w:hAnsi="Times New Roman" w:cs="Times New Roman"/>
        </w:rPr>
      </w:pPr>
      <w:r w:rsidRPr="00046F1A">
        <w:rPr>
          <w:rFonts w:ascii="Times New Roman" w:hAnsi="Times New Roman" w:cs="Times New Roman"/>
        </w:rPr>
        <w:t>Komentaras žiniasklaidai</w:t>
      </w:r>
    </w:p>
    <w:p w14:paraId="20CDA83D" w14:textId="77777777" w:rsidR="00C35D64" w:rsidRPr="00046F1A" w:rsidRDefault="00C35D64" w:rsidP="00547C2C">
      <w:pPr>
        <w:spacing w:after="0"/>
        <w:jc w:val="both"/>
        <w:rPr>
          <w:rFonts w:ascii="Times New Roman" w:hAnsi="Times New Roman" w:cs="Times New Roman"/>
        </w:rPr>
      </w:pPr>
      <w:r>
        <w:rPr>
          <w:rFonts w:ascii="Times New Roman" w:hAnsi="Times New Roman" w:cs="Times New Roman"/>
        </w:rPr>
        <w:t xml:space="preserve">dr. </w:t>
      </w:r>
      <w:r w:rsidRPr="00046F1A">
        <w:rPr>
          <w:rFonts w:ascii="Times New Roman" w:hAnsi="Times New Roman" w:cs="Times New Roman"/>
        </w:rPr>
        <w:t>Tadas Gudaitis, LIPFA vadovas</w:t>
      </w:r>
    </w:p>
    <w:p w14:paraId="0CBBF5BE" w14:textId="5E2B829F" w:rsidR="00C35D64" w:rsidRPr="00046F1A" w:rsidRDefault="00C35D64" w:rsidP="00547C2C">
      <w:pPr>
        <w:spacing w:after="0"/>
        <w:jc w:val="both"/>
        <w:rPr>
          <w:rFonts w:ascii="Times New Roman" w:hAnsi="Times New Roman" w:cs="Times New Roman"/>
        </w:rPr>
      </w:pPr>
      <w:r w:rsidRPr="00046F1A">
        <w:rPr>
          <w:rFonts w:ascii="Times New Roman" w:hAnsi="Times New Roman" w:cs="Times New Roman"/>
        </w:rPr>
        <w:t>2025</w:t>
      </w:r>
      <w:r>
        <w:rPr>
          <w:rFonts w:ascii="Times New Roman" w:hAnsi="Times New Roman" w:cs="Times New Roman"/>
        </w:rPr>
        <w:t xml:space="preserve"> m.</w:t>
      </w:r>
      <w:r w:rsidRPr="00046F1A">
        <w:rPr>
          <w:rFonts w:ascii="Times New Roman" w:hAnsi="Times New Roman" w:cs="Times New Roman"/>
        </w:rPr>
        <w:t xml:space="preserve"> </w:t>
      </w:r>
      <w:r>
        <w:rPr>
          <w:rFonts w:ascii="Times New Roman" w:hAnsi="Times New Roman" w:cs="Times New Roman"/>
        </w:rPr>
        <w:t>birželio</w:t>
      </w:r>
      <w:r w:rsidRPr="00046F1A">
        <w:rPr>
          <w:rFonts w:ascii="Times New Roman" w:hAnsi="Times New Roman" w:cs="Times New Roman"/>
        </w:rPr>
        <w:t xml:space="preserve"> </w:t>
      </w:r>
      <w:r w:rsidR="00A93991">
        <w:rPr>
          <w:rFonts w:ascii="Times New Roman" w:hAnsi="Times New Roman" w:cs="Times New Roman"/>
        </w:rPr>
        <w:t>10</w:t>
      </w:r>
      <w:r w:rsidRPr="00046F1A">
        <w:rPr>
          <w:rFonts w:ascii="Times New Roman" w:hAnsi="Times New Roman" w:cs="Times New Roman"/>
        </w:rPr>
        <w:t xml:space="preserve"> d.</w:t>
      </w:r>
    </w:p>
    <w:p w14:paraId="4DE8A5A0" w14:textId="77777777" w:rsidR="00C35D64" w:rsidRDefault="00C35D64" w:rsidP="00547C2C">
      <w:pPr>
        <w:jc w:val="both"/>
        <w:rPr>
          <w:rFonts w:ascii="Times New Roman" w:hAnsi="Times New Roman" w:cs="Times New Roman"/>
          <w:b/>
          <w:bCs/>
        </w:rPr>
      </w:pPr>
    </w:p>
    <w:p w14:paraId="4722FECD" w14:textId="77C17DD9" w:rsidR="00836B61" w:rsidRPr="00C35D64" w:rsidRDefault="00E24391" w:rsidP="00547C2C">
      <w:pPr>
        <w:jc w:val="both"/>
        <w:rPr>
          <w:rFonts w:ascii="Times New Roman" w:hAnsi="Times New Roman" w:cs="Times New Roman"/>
          <w:b/>
          <w:bCs/>
          <w:sz w:val="28"/>
          <w:szCs w:val="28"/>
        </w:rPr>
      </w:pPr>
      <w:r>
        <w:rPr>
          <w:rFonts w:ascii="Times New Roman" w:hAnsi="Times New Roman" w:cs="Times New Roman"/>
          <w:b/>
          <w:bCs/>
          <w:sz w:val="28"/>
          <w:szCs w:val="28"/>
        </w:rPr>
        <w:t>Autoritetingos t</w:t>
      </w:r>
      <w:r w:rsidRPr="00E24391">
        <w:rPr>
          <w:rFonts w:ascii="Times New Roman" w:hAnsi="Times New Roman" w:cs="Times New Roman"/>
          <w:b/>
          <w:bCs/>
          <w:sz w:val="28"/>
          <w:szCs w:val="28"/>
        </w:rPr>
        <w:t xml:space="preserve">arptautinės institucijos į miltus mala </w:t>
      </w:r>
      <w:r w:rsidR="00872F92">
        <w:rPr>
          <w:rFonts w:ascii="Times New Roman" w:hAnsi="Times New Roman" w:cs="Times New Roman"/>
          <w:b/>
          <w:bCs/>
          <w:sz w:val="28"/>
          <w:szCs w:val="28"/>
        </w:rPr>
        <w:t xml:space="preserve">siūlomus </w:t>
      </w:r>
      <w:r w:rsidR="00995E9A">
        <w:rPr>
          <w:rFonts w:ascii="Times New Roman" w:hAnsi="Times New Roman" w:cs="Times New Roman"/>
          <w:b/>
          <w:bCs/>
          <w:sz w:val="28"/>
          <w:szCs w:val="28"/>
        </w:rPr>
        <w:t xml:space="preserve">Lietuvos pensijų sistemos </w:t>
      </w:r>
      <w:r w:rsidR="00872F92">
        <w:rPr>
          <w:rFonts w:ascii="Times New Roman" w:hAnsi="Times New Roman" w:cs="Times New Roman"/>
          <w:b/>
          <w:bCs/>
          <w:sz w:val="28"/>
          <w:szCs w:val="28"/>
        </w:rPr>
        <w:t xml:space="preserve">II </w:t>
      </w:r>
      <w:r w:rsidRPr="00E24391">
        <w:rPr>
          <w:rFonts w:ascii="Times New Roman" w:hAnsi="Times New Roman" w:cs="Times New Roman"/>
          <w:b/>
          <w:bCs/>
          <w:sz w:val="28"/>
          <w:szCs w:val="28"/>
        </w:rPr>
        <w:t xml:space="preserve">pakopos </w:t>
      </w:r>
      <w:r w:rsidR="00DA695C">
        <w:rPr>
          <w:rFonts w:ascii="Times New Roman" w:hAnsi="Times New Roman" w:cs="Times New Roman"/>
          <w:b/>
          <w:bCs/>
          <w:sz w:val="28"/>
          <w:szCs w:val="28"/>
        </w:rPr>
        <w:t xml:space="preserve">pakeitimus </w:t>
      </w:r>
    </w:p>
    <w:p w14:paraId="44649B17" w14:textId="37D979E1" w:rsidR="00DE078D" w:rsidRPr="003A07C4" w:rsidRDefault="00DE078D" w:rsidP="0034510F">
      <w:pPr>
        <w:jc w:val="both"/>
        <w:rPr>
          <w:rFonts w:ascii="Times New Roman" w:hAnsi="Times New Roman" w:cs="Times New Roman"/>
          <w:b/>
          <w:bCs/>
        </w:rPr>
      </w:pPr>
      <w:r w:rsidRPr="003A07C4">
        <w:rPr>
          <w:rFonts w:ascii="Times New Roman" w:hAnsi="Times New Roman" w:cs="Times New Roman"/>
          <w:b/>
          <w:bCs/>
        </w:rPr>
        <w:t xml:space="preserve">Pastaruoju metu net trys </w:t>
      </w:r>
      <w:r w:rsidR="00333F86" w:rsidRPr="003A07C4">
        <w:rPr>
          <w:rFonts w:ascii="Times New Roman" w:hAnsi="Times New Roman" w:cs="Times New Roman"/>
          <w:b/>
          <w:bCs/>
        </w:rPr>
        <w:t xml:space="preserve">autoritetingos tarptautinės institucijos pakomentavo </w:t>
      </w:r>
      <w:r w:rsidR="00DC0B06" w:rsidRPr="003A07C4">
        <w:rPr>
          <w:rFonts w:ascii="Times New Roman" w:hAnsi="Times New Roman" w:cs="Times New Roman"/>
          <w:b/>
          <w:bCs/>
        </w:rPr>
        <w:t xml:space="preserve">Socialinės apsaugos ir darbo ministerijos (SADM) </w:t>
      </w:r>
      <w:r w:rsidR="00EC181C" w:rsidRPr="003A07C4">
        <w:rPr>
          <w:rFonts w:ascii="Times New Roman" w:hAnsi="Times New Roman" w:cs="Times New Roman"/>
          <w:b/>
          <w:bCs/>
        </w:rPr>
        <w:t>pa</w:t>
      </w:r>
      <w:r w:rsidR="00DC0B06" w:rsidRPr="003A07C4">
        <w:rPr>
          <w:rFonts w:ascii="Times New Roman" w:hAnsi="Times New Roman" w:cs="Times New Roman"/>
          <w:b/>
          <w:bCs/>
        </w:rPr>
        <w:t>siūlym</w:t>
      </w:r>
      <w:r w:rsidR="00EC181C" w:rsidRPr="003A07C4">
        <w:rPr>
          <w:rFonts w:ascii="Times New Roman" w:hAnsi="Times New Roman" w:cs="Times New Roman"/>
          <w:b/>
          <w:bCs/>
        </w:rPr>
        <w:t xml:space="preserve">us dėl pensijos sistemos pakeitimų. Palaikymo šiuose komentaruose, švelniai tariant, nedaug: Tarptautinis valiutos fondas </w:t>
      </w:r>
      <w:r w:rsidR="00D103BF" w:rsidRPr="003A07C4">
        <w:rPr>
          <w:rFonts w:ascii="Times New Roman" w:hAnsi="Times New Roman" w:cs="Times New Roman"/>
          <w:b/>
          <w:bCs/>
        </w:rPr>
        <w:t xml:space="preserve">pareiškė, jog </w:t>
      </w:r>
      <w:r w:rsidR="005D742F" w:rsidRPr="003A07C4">
        <w:rPr>
          <w:rFonts w:ascii="Times New Roman" w:hAnsi="Times New Roman" w:cs="Times New Roman"/>
          <w:b/>
          <w:bCs/>
        </w:rPr>
        <w:t xml:space="preserve">Lietuvos „Sodros“ pensijų pakeitimo norma </w:t>
      </w:r>
      <w:r w:rsidR="001934B6">
        <w:rPr>
          <w:rFonts w:ascii="Times New Roman" w:hAnsi="Times New Roman" w:cs="Times New Roman"/>
          <w:b/>
          <w:bCs/>
        </w:rPr>
        <w:t xml:space="preserve">mažės </w:t>
      </w:r>
      <w:r w:rsidR="005D742F">
        <w:rPr>
          <w:rFonts w:ascii="Times New Roman" w:hAnsi="Times New Roman" w:cs="Times New Roman"/>
          <w:b/>
          <w:bCs/>
        </w:rPr>
        <w:t xml:space="preserve">net </w:t>
      </w:r>
      <w:r w:rsidR="00894873">
        <w:rPr>
          <w:rFonts w:ascii="Times New Roman" w:hAnsi="Times New Roman" w:cs="Times New Roman"/>
          <w:b/>
          <w:bCs/>
        </w:rPr>
        <w:t xml:space="preserve">ir </w:t>
      </w:r>
      <w:r w:rsidR="005D742F">
        <w:rPr>
          <w:rFonts w:ascii="Times New Roman" w:hAnsi="Times New Roman" w:cs="Times New Roman"/>
          <w:b/>
          <w:bCs/>
        </w:rPr>
        <w:t xml:space="preserve">prie dabartinės sistemos, o </w:t>
      </w:r>
      <w:r w:rsidR="00483E1A">
        <w:rPr>
          <w:rFonts w:ascii="Times New Roman" w:hAnsi="Times New Roman" w:cs="Times New Roman"/>
          <w:b/>
          <w:bCs/>
        </w:rPr>
        <w:t>ją „patobulinus“, šis procesas dar labiau pagreitės</w:t>
      </w:r>
      <w:r w:rsidR="00D103BF" w:rsidRPr="003A07C4">
        <w:rPr>
          <w:rFonts w:ascii="Times New Roman" w:hAnsi="Times New Roman" w:cs="Times New Roman"/>
          <w:b/>
          <w:bCs/>
        </w:rPr>
        <w:t xml:space="preserve">; Europos Komisija </w:t>
      </w:r>
      <w:r w:rsidR="00DE5C58" w:rsidRPr="003A07C4">
        <w:rPr>
          <w:rFonts w:ascii="Times New Roman" w:hAnsi="Times New Roman" w:cs="Times New Roman"/>
          <w:b/>
          <w:bCs/>
        </w:rPr>
        <w:t xml:space="preserve">sukritikavo siūlymus, sakydama, jog </w:t>
      </w:r>
      <w:r w:rsidRPr="003A07C4">
        <w:rPr>
          <w:rFonts w:ascii="Times New Roman" w:hAnsi="Times New Roman" w:cs="Times New Roman"/>
          <w:b/>
          <w:bCs/>
        </w:rPr>
        <w:t xml:space="preserve">reforma gali smogti silpnai Lietuvos kapitalo rinkai ir pakenkti </w:t>
      </w:r>
      <w:r w:rsidR="00025810">
        <w:rPr>
          <w:rFonts w:ascii="Times New Roman" w:hAnsi="Times New Roman" w:cs="Times New Roman"/>
          <w:b/>
          <w:bCs/>
        </w:rPr>
        <w:t xml:space="preserve">pensijų fondų </w:t>
      </w:r>
      <w:r w:rsidRPr="003A07C4">
        <w:rPr>
          <w:rFonts w:ascii="Times New Roman" w:hAnsi="Times New Roman" w:cs="Times New Roman"/>
          <w:b/>
          <w:bCs/>
        </w:rPr>
        <w:t>investicijoms</w:t>
      </w:r>
      <w:r w:rsidR="00025810">
        <w:rPr>
          <w:rFonts w:ascii="Times New Roman" w:hAnsi="Times New Roman" w:cs="Times New Roman"/>
          <w:b/>
          <w:bCs/>
        </w:rPr>
        <w:t xml:space="preserve"> į Lietuvos ekonomiką</w:t>
      </w:r>
      <w:r w:rsidR="00DE5C58" w:rsidRPr="003A07C4">
        <w:rPr>
          <w:rFonts w:ascii="Times New Roman" w:hAnsi="Times New Roman" w:cs="Times New Roman"/>
          <w:b/>
          <w:bCs/>
        </w:rPr>
        <w:t>;</w:t>
      </w:r>
      <w:r w:rsidRPr="003A07C4">
        <w:rPr>
          <w:rFonts w:ascii="Times New Roman" w:hAnsi="Times New Roman" w:cs="Times New Roman"/>
          <w:b/>
          <w:bCs/>
        </w:rPr>
        <w:t xml:space="preserve"> </w:t>
      </w:r>
      <w:r w:rsidR="00DE5C58" w:rsidRPr="003A07C4">
        <w:rPr>
          <w:rFonts w:ascii="Times New Roman" w:hAnsi="Times New Roman" w:cs="Times New Roman"/>
          <w:b/>
          <w:bCs/>
        </w:rPr>
        <w:t xml:space="preserve">o </w:t>
      </w:r>
      <w:r w:rsidR="0034510F" w:rsidRPr="003A07C4">
        <w:rPr>
          <w:rFonts w:ascii="Times New Roman" w:hAnsi="Times New Roman" w:cs="Times New Roman"/>
          <w:b/>
          <w:bCs/>
        </w:rPr>
        <w:t xml:space="preserve">Ekonominio bendradarbiavimo ir plėtros organizacija pastebėjo, </w:t>
      </w:r>
      <w:r w:rsidR="00483E1A" w:rsidRPr="003A07C4">
        <w:rPr>
          <w:rFonts w:ascii="Times New Roman" w:hAnsi="Times New Roman" w:cs="Times New Roman"/>
          <w:b/>
          <w:bCs/>
        </w:rPr>
        <w:t>kad neatsakinga pensijų reforma gali įstumti valstybę į demografinę ir fiskalinę krizę</w:t>
      </w:r>
      <w:r w:rsidRPr="003A07C4">
        <w:rPr>
          <w:rFonts w:ascii="Times New Roman" w:hAnsi="Times New Roman" w:cs="Times New Roman"/>
          <w:b/>
          <w:bCs/>
        </w:rPr>
        <w:t xml:space="preserve">. </w:t>
      </w:r>
    </w:p>
    <w:p w14:paraId="62F88D77" w14:textId="77777777" w:rsidR="00CD09B4" w:rsidRPr="00C35D64" w:rsidRDefault="00CD09B4" w:rsidP="00CD09B4">
      <w:pPr>
        <w:jc w:val="both"/>
        <w:rPr>
          <w:rFonts w:ascii="Times New Roman" w:hAnsi="Times New Roman" w:cs="Times New Roman"/>
          <w:b/>
          <w:bCs/>
        </w:rPr>
      </w:pPr>
      <w:r w:rsidRPr="00C35D64">
        <w:rPr>
          <w:rFonts w:ascii="Times New Roman" w:hAnsi="Times New Roman" w:cs="Times New Roman"/>
          <w:b/>
          <w:bCs/>
        </w:rPr>
        <w:t xml:space="preserve">Prie perspėjančio ekspertų choro jungiasi ir TVF </w:t>
      </w:r>
    </w:p>
    <w:p w14:paraId="7457F16F" w14:textId="47F8DCE0" w:rsidR="00CD09B4" w:rsidRPr="00C35D64" w:rsidRDefault="00CD09B4" w:rsidP="00CD09B4">
      <w:pPr>
        <w:jc w:val="both"/>
        <w:rPr>
          <w:rFonts w:ascii="Times New Roman" w:hAnsi="Times New Roman" w:cs="Times New Roman"/>
        </w:rPr>
      </w:pPr>
      <w:r w:rsidRPr="00C35D64">
        <w:rPr>
          <w:rFonts w:ascii="Times New Roman" w:hAnsi="Times New Roman" w:cs="Times New Roman"/>
        </w:rPr>
        <w:t xml:space="preserve">Dėl potencialios naujųjų Socialinės apsaugos ir darbo ministerijos (SADM) siūlymų žalos penktadienį pasisakė eilinę misiją Lietuvoje užbaigęs Tarptautinis valiutos fondas (TVF). Pasak šios autoritetingos tarptautinės organizacijos, leidimas kaupiantiesiems pasitraukti iš II pakopos ir išsiimti sukauptas lėšas yra kardinaliai priešingas TVF jau ne kartą siūlytoms Lietuvos pensijų sistemos tobulinimo rekomendacijoms. </w:t>
      </w:r>
    </w:p>
    <w:p w14:paraId="6CD61C0B" w14:textId="2D2582C2" w:rsidR="00CD09B4" w:rsidRPr="00C35D64" w:rsidRDefault="00CD09B4" w:rsidP="00CD09B4">
      <w:pPr>
        <w:jc w:val="both"/>
        <w:rPr>
          <w:rFonts w:ascii="Times New Roman" w:hAnsi="Times New Roman" w:cs="Times New Roman"/>
        </w:rPr>
      </w:pPr>
      <w:r w:rsidRPr="00C35D64">
        <w:rPr>
          <w:rFonts w:ascii="Times New Roman" w:hAnsi="Times New Roman" w:cs="Times New Roman"/>
        </w:rPr>
        <w:t xml:space="preserve">Pasak TVF, II pakopos esmė yra skatinti žmones kaupti papildomai, didinti valstybės mokamą pensiją ir didinti jos pakeitimo normą. </w:t>
      </w:r>
      <w:r w:rsidR="001934B6">
        <w:rPr>
          <w:rFonts w:ascii="Times New Roman" w:hAnsi="Times New Roman" w:cs="Times New Roman"/>
        </w:rPr>
        <w:t>D</w:t>
      </w:r>
      <w:r w:rsidRPr="00C35D64">
        <w:rPr>
          <w:rFonts w:ascii="Times New Roman" w:hAnsi="Times New Roman" w:cs="Times New Roman"/>
        </w:rPr>
        <w:t xml:space="preserve">ėl senėjančios visuomenės pensijos pakeitimo norma </w:t>
      </w:r>
      <w:r w:rsidR="001934B6" w:rsidRPr="001934B6">
        <w:rPr>
          <w:rFonts w:ascii="Times New Roman" w:hAnsi="Times New Roman" w:cs="Times New Roman"/>
        </w:rPr>
        <w:t>t. y. būsimos pensijos santykis su buvusi</w:t>
      </w:r>
      <w:r w:rsidR="001934B6">
        <w:rPr>
          <w:rFonts w:ascii="Times New Roman" w:hAnsi="Times New Roman" w:cs="Times New Roman"/>
        </w:rPr>
        <w:t xml:space="preserve">u darbo užmokesčiu, </w:t>
      </w:r>
      <w:r w:rsidRPr="00C35D64">
        <w:rPr>
          <w:rFonts w:ascii="Times New Roman" w:hAnsi="Times New Roman" w:cs="Times New Roman"/>
        </w:rPr>
        <w:t xml:space="preserve">neišvengiamai mažės. O jei SAMD siūlymai bus priimti, šis procesas dar labiau paspartės. </w:t>
      </w:r>
      <w:r w:rsidR="00025810">
        <w:rPr>
          <w:rFonts w:ascii="Times New Roman" w:hAnsi="Times New Roman" w:cs="Times New Roman"/>
        </w:rPr>
        <w:t>D</w:t>
      </w:r>
      <w:r w:rsidR="00025810" w:rsidRPr="001934B6">
        <w:rPr>
          <w:rFonts w:ascii="Times New Roman" w:hAnsi="Times New Roman" w:cs="Times New Roman"/>
        </w:rPr>
        <w:t>abartinė pensijų sistemos struktūra jau dabar numato reikšmingą valstybės išlaidų pensijoms augimą per artimiausius du dešimtmečius – ir tai vyksta esant nepalankiai demografinei situacijai, kai mažėja dirbančiųjų skaičius ir auga senjorų dalis.</w:t>
      </w:r>
    </w:p>
    <w:p w14:paraId="7B3E7E67" w14:textId="1EC332C7" w:rsidR="00025810" w:rsidRPr="001934B6" w:rsidRDefault="00553B80" w:rsidP="00025810">
      <w:pPr>
        <w:jc w:val="both"/>
        <w:rPr>
          <w:rFonts w:ascii="Times New Roman" w:hAnsi="Times New Roman" w:cs="Times New Roman"/>
        </w:rPr>
      </w:pPr>
      <w:r w:rsidRPr="00C35D64">
        <w:rPr>
          <w:rFonts w:ascii="Times New Roman" w:hAnsi="Times New Roman" w:cs="Times New Roman"/>
        </w:rPr>
        <w:t xml:space="preserve">TVF misijos išvadose </w:t>
      </w:r>
      <w:r w:rsidR="00025810">
        <w:rPr>
          <w:rFonts w:ascii="Times New Roman" w:hAnsi="Times New Roman" w:cs="Times New Roman"/>
        </w:rPr>
        <w:t>d</w:t>
      </w:r>
      <w:r w:rsidR="00025810" w:rsidRPr="001934B6">
        <w:rPr>
          <w:rFonts w:ascii="Times New Roman" w:hAnsi="Times New Roman" w:cs="Times New Roman"/>
        </w:rPr>
        <w:t xml:space="preserve">ar didesnį nerimą kelia </w:t>
      </w:r>
      <w:r w:rsidR="00025810">
        <w:rPr>
          <w:rFonts w:ascii="Times New Roman" w:hAnsi="Times New Roman" w:cs="Times New Roman"/>
        </w:rPr>
        <w:t xml:space="preserve">galimos reformos siūlomos priemonės – daugiau galimybių atsiimti lėšas anksčiau laiko, stabdyti kaupimą bei dalyvavimą paversti savanorišku. </w:t>
      </w:r>
      <w:r w:rsidR="00025810" w:rsidRPr="001934B6">
        <w:rPr>
          <w:rFonts w:ascii="Times New Roman" w:hAnsi="Times New Roman" w:cs="Times New Roman"/>
        </w:rPr>
        <w:t>Tokios priemonės, skambančios patraukliai trumpuoju laikotarpiu, ilgainiui reikšmingai mažins gyventojų būsimų pensijų dydžius, didins socialinę atskirtį senatvėje ir grąžins papildomą finansinę naštą valstybei – biudžetui teks padengti vis daugiau gyventojų pensijų poreikių.</w:t>
      </w:r>
    </w:p>
    <w:p w14:paraId="72461A7C" w14:textId="13161409" w:rsidR="001934B6" w:rsidRDefault="00553B80" w:rsidP="00553B80">
      <w:pPr>
        <w:jc w:val="both"/>
        <w:rPr>
          <w:rFonts w:ascii="Times New Roman" w:hAnsi="Times New Roman" w:cs="Times New Roman"/>
        </w:rPr>
      </w:pPr>
      <w:r w:rsidRPr="00C35D64">
        <w:rPr>
          <w:rFonts w:ascii="Times New Roman" w:hAnsi="Times New Roman" w:cs="Times New Roman"/>
        </w:rPr>
        <w:t xml:space="preserve">TVF ekspertai pabrėžia, kad Lietuvai svarbu itin atidžiai įvertinti ne tik II pakopą, bet ir visą pensijų sistemą, kuri žmones labiau skatintų nuosekliai kaupti didesnei ir oriai senatvės pensijai bei ilguoju laikotarpiu nedidintų spaudimo valstybės biudžetui. </w:t>
      </w:r>
      <w:r w:rsidR="00025810" w:rsidRPr="001934B6">
        <w:rPr>
          <w:rFonts w:ascii="Times New Roman" w:hAnsi="Times New Roman" w:cs="Times New Roman"/>
        </w:rPr>
        <w:t xml:space="preserve">Todėl tarptautiniai ekspertai griežtai ragina valdžios institucijas neskubėti priimti skubotų sprendimų ir suteikti pakankamai laiko išsamiam visų galimų pasekmių įvertinimui. </w:t>
      </w:r>
    </w:p>
    <w:p w14:paraId="6719E758" w14:textId="77777777" w:rsidR="00025810" w:rsidRPr="00C35D64" w:rsidRDefault="00025810" w:rsidP="00553B80">
      <w:pPr>
        <w:jc w:val="both"/>
        <w:rPr>
          <w:rFonts w:ascii="Times New Roman" w:hAnsi="Times New Roman" w:cs="Times New Roman"/>
        </w:rPr>
      </w:pPr>
    </w:p>
    <w:p w14:paraId="45426A47" w14:textId="3CD48226" w:rsidR="00DE078D" w:rsidRPr="000F093B" w:rsidRDefault="000F093B" w:rsidP="00DE078D">
      <w:pPr>
        <w:jc w:val="both"/>
        <w:rPr>
          <w:rFonts w:ascii="Times New Roman" w:hAnsi="Times New Roman" w:cs="Times New Roman"/>
          <w:b/>
          <w:bCs/>
        </w:rPr>
      </w:pPr>
      <w:r w:rsidRPr="000F093B">
        <w:rPr>
          <w:rFonts w:ascii="Times New Roman" w:hAnsi="Times New Roman" w:cs="Times New Roman"/>
          <w:b/>
          <w:bCs/>
        </w:rPr>
        <w:t xml:space="preserve">Raudonas </w:t>
      </w:r>
      <w:r w:rsidR="001934B6">
        <w:rPr>
          <w:rFonts w:ascii="Times New Roman" w:hAnsi="Times New Roman" w:cs="Times New Roman"/>
          <w:b/>
          <w:bCs/>
        </w:rPr>
        <w:t>linijas brėžia</w:t>
      </w:r>
      <w:r w:rsidRPr="000F093B">
        <w:rPr>
          <w:rFonts w:ascii="Times New Roman" w:hAnsi="Times New Roman" w:cs="Times New Roman"/>
          <w:b/>
          <w:bCs/>
        </w:rPr>
        <w:t xml:space="preserve"> ir EK </w:t>
      </w:r>
    </w:p>
    <w:p w14:paraId="15389001" w14:textId="3F91D1B5" w:rsidR="002A4917" w:rsidRPr="00C35D64" w:rsidRDefault="00EF4095" w:rsidP="00547C2C">
      <w:pPr>
        <w:jc w:val="both"/>
        <w:rPr>
          <w:rFonts w:ascii="Times New Roman" w:hAnsi="Times New Roman" w:cs="Times New Roman"/>
        </w:rPr>
      </w:pPr>
      <w:r>
        <w:rPr>
          <w:rFonts w:ascii="Times New Roman" w:hAnsi="Times New Roman" w:cs="Times New Roman"/>
        </w:rPr>
        <w:t>D</w:t>
      </w:r>
      <w:r w:rsidRPr="00C35D64">
        <w:rPr>
          <w:rFonts w:ascii="Times New Roman" w:hAnsi="Times New Roman" w:cs="Times New Roman"/>
        </w:rPr>
        <w:t>ar vien</w:t>
      </w:r>
      <w:r>
        <w:rPr>
          <w:rFonts w:ascii="Times New Roman" w:hAnsi="Times New Roman" w:cs="Times New Roman"/>
        </w:rPr>
        <w:t>ą</w:t>
      </w:r>
      <w:r w:rsidRPr="00C35D64">
        <w:rPr>
          <w:rFonts w:ascii="Times New Roman" w:hAnsi="Times New Roman" w:cs="Times New Roman"/>
        </w:rPr>
        <w:t xml:space="preserve"> pr</w:t>
      </w:r>
      <w:r>
        <w:rPr>
          <w:rFonts w:ascii="Times New Roman" w:hAnsi="Times New Roman" w:cs="Times New Roman"/>
        </w:rPr>
        <w:t>ogą</w:t>
      </w:r>
      <w:r w:rsidRPr="00C35D64">
        <w:rPr>
          <w:rFonts w:ascii="Times New Roman" w:hAnsi="Times New Roman" w:cs="Times New Roman"/>
        </w:rPr>
        <w:t xml:space="preserve"> pažvelgti į socialinės apsaugos veidrodį </w:t>
      </w:r>
      <w:r>
        <w:rPr>
          <w:rFonts w:ascii="Times New Roman" w:hAnsi="Times New Roman" w:cs="Times New Roman"/>
        </w:rPr>
        <w:t>suteikė ir p</w:t>
      </w:r>
      <w:r w:rsidRPr="00C35D64">
        <w:rPr>
          <w:rFonts w:ascii="Times New Roman" w:hAnsi="Times New Roman" w:cs="Times New Roman"/>
        </w:rPr>
        <w:t xml:space="preserve">raėjusį trečiadienį </w:t>
      </w:r>
      <w:r w:rsidR="002A4917" w:rsidRPr="00C35D64">
        <w:rPr>
          <w:rFonts w:ascii="Times New Roman" w:hAnsi="Times New Roman" w:cs="Times New Roman"/>
        </w:rPr>
        <w:t>Europos Komisij</w:t>
      </w:r>
      <w:r w:rsidR="00725F77" w:rsidRPr="00C35D64">
        <w:rPr>
          <w:rFonts w:ascii="Times New Roman" w:hAnsi="Times New Roman" w:cs="Times New Roman"/>
        </w:rPr>
        <w:t>os</w:t>
      </w:r>
      <w:r w:rsidR="002A4917" w:rsidRPr="00C35D64">
        <w:rPr>
          <w:rFonts w:ascii="Times New Roman" w:hAnsi="Times New Roman" w:cs="Times New Roman"/>
        </w:rPr>
        <w:t xml:space="preserve"> </w:t>
      </w:r>
      <w:r w:rsidR="005F5F88" w:rsidRPr="00C35D64">
        <w:rPr>
          <w:rFonts w:ascii="Times New Roman" w:hAnsi="Times New Roman" w:cs="Times New Roman"/>
        </w:rPr>
        <w:t xml:space="preserve">(EK) </w:t>
      </w:r>
      <w:r w:rsidR="002A4917" w:rsidRPr="00C35D64">
        <w:rPr>
          <w:rFonts w:ascii="Times New Roman" w:hAnsi="Times New Roman" w:cs="Times New Roman"/>
        </w:rPr>
        <w:t>paskelb</w:t>
      </w:r>
      <w:r w:rsidR="00725F77" w:rsidRPr="00C35D64">
        <w:rPr>
          <w:rFonts w:ascii="Times New Roman" w:hAnsi="Times New Roman" w:cs="Times New Roman"/>
        </w:rPr>
        <w:t>tos</w:t>
      </w:r>
      <w:r w:rsidR="002A4917" w:rsidRPr="00C35D64">
        <w:rPr>
          <w:rFonts w:ascii="Times New Roman" w:hAnsi="Times New Roman" w:cs="Times New Roman"/>
        </w:rPr>
        <w:t xml:space="preserve"> rekomendacij</w:t>
      </w:r>
      <w:r w:rsidR="00725F77" w:rsidRPr="00C35D64">
        <w:rPr>
          <w:rFonts w:ascii="Times New Roman" w:hAnsi="Times New Roman" w:cs="Times New Roman"/>
        </w:rPr>
        <w:t>os</w:t>
      </w:r>
      <w:r w:rsidR="002A4917" w:rsidRPr="00C35D64">
        <w:rPr>
          <w:rFonts w:ascii="Times New Roman" w:hAnsi="Times New Roman" w:cs="Times New Roman"/>
        </w:rPr>
        <w:t xml:space="preserve"> Lietuvai</w:t>
      </w:r>
      <w:r>
        <w:rPr>
          <w:rFonts w:ascii="Times New Roman" w:hAnsi="Times New Roman" w:cs="Times New Roman"/>
        </w:rPr>
        <w:t>.</w:t>
      </w:r>
      <w:r w:rsidR="002A4917" w:rsidRPr="00C35D64">
        <w:rPr>
          <w:rFonts w:ascii="Times New Roman" w:hAnsi="Times New Roman" w:cs="Times New Roman"/>
        </w:rPr>
        <w:t xml:space="preserve"> Deja, tai, ką </w:t>
      </w:r>
      <w:r w:rsidR="00605630" w:rsidRPr="00C35D64">
        <w:rPr>
          <w:rFonts w:ascii="Times New Roman" w:hAnsi="Times New Roman" w:cs="Times New Roman"/>
        </w:rPr>
        <w:t>jame matome</w:t>
      </w:r>
      <w:r w:rsidR="002A4917" w:rsidRPr="00C35D64">
        <w:rPr>
          <w:rFonts w:ascii="Times New Roman" w:hAnsi="Times New Roman" w:cs="Times New Roman"/>
        </w:rPr>
        <w:t>, neatrodo nei subalansuota, nei apgalvota</w:t>
      </w:r>
      <w:r w:rsidR="006518A9" w:rsidRPr="00C35D64">
        <w:rPr>
          <w:rFonts w:ascii="Times New Roman" w:hAnsi="Times New Roman" w:cs="Times New Roman"/>
        </w:rPr>
        <w:t xml:space="preserve"> strategiškai</w:t>
      </w:r>
      <w:r w:rsidR="002A4917" w:rsidRPr="00C35D64">
        <w:rPr>
          <w:rFonts w:ascii="Times New Roman" w:hAnsi="Times New Roman" w:cs="Times New Roman"/>
        </w:rPr>
        <w:t xml:space="preserve">. </w:t>
      </w:r>
      <w:r w:rsidR="005F5F88" w:rsidRPr="00C35D64">
        <w:rPr>
          <w:rFonts w:ascii="Times New Roman" w:hAnsi="Times New Roman" w:cs="Times New Roman"/>
        </w:rPr>
        <w:t xml:space="preserve">EK </w:t>
      </w:r>
      <w:r w:rsidR="002A4917" w:rsidRPr="00C35D64">
        <w:rPr>
          <w:rFonts w:ascii="Times New Roman" w:hAnsi="Times New Roman" w:cs="Times New Roman"/>
        </w:rPr>
        <w:t xml:space="preserve">tiesiai šviesiai ragina Lietuvą stiprinti kapitalo rinkas, skatinti finansinių paslaugų konkurenciją ir </w:t>
      </w:r>
      <w:proofErr w:type="spellStart"/>
      <w:r w:rsidR="00025810">
        <w:rPr>
          <w:rFonts w:ascii="Times New Roman" w:hAnsi="Times New Roman" w:cs="Times New Roman"/>
        </w:rPr>
        <w:t>stprinti</w:t>
      </w:r>
      <w:proofErr w:type="spellEnd"/>
      <w:r w:rsidR="00025810" w:rsidRPr="00C35D64">
        <w:rPr>
          <w:rFonts w:ascii="Times New Roman" w:hAnsi="Times New Roman" w:cs="Times New Roman"/>
        </w:rPr>
        <w:t xml:space="preserve"> </w:t>
      </w:r>
      <w:r w:rsidR="002A4917" w:rsidRPr="00C35D64">
        <w:rPr>
          <w:rFonts w:ascii="Times New Roman" w:hAnsi="Times New Roman" w:cs="Times New Roman"/>
        </w:rPr>
        <w:t>antrąją pensijų pakopą – konkrečiai įvardindama automatinį įtraukimą</w:t>
      </w:r>
      <w:r w:rsidR="00301EF3" w:rsidRPr="00C35D64">
        <w:rPr>
          <w:rFonts w:ascii="Times New Roman" w:hAnsi="Times New Roman" w:cs="Times New Roman"/>
        </w:rPr>
        <w:t>,</w:t>
      </w:r>
      <w:r w:rsidR="002A4917" w:rsidRPr="00C35D64">
        <w:rPr>
          <w:rFonts w:ascii="Times New Roman" w:hAnsi="Times New Roman" w:cs="Times New Roman"/>
        </w:rPr>
        <w:t xml:space="preserve"> kaip priemonę skatinti</w:t>
      </w:r>
      <w:r w:rsidR="00301EF3" w:rsidRPr="00C35D64">
        <w:rPr>
          <w:rFonts w:ascii="Times New Roman" w:hAnsi="Times New Roman" w:cs="Times New Roman"/>
        </w:rPr>
        <w:t xml:space="preserve"> gyventojų dalyvavimui</w:t>
      </w:r>
      <w:r w:rsidR="002A4917" w:rsidRPr="00C35D64">
        <w:rPr>
          <w:rFonts w:ascii="Times New Roman" w:hAnsi="Times New Roman" w:cs="Times New Roman"/>
        </w:rPr>
        <w:t xml:space="preserve">. Kodėl? Nes tai </w:t>
      </w:r>
      <w:r w:rsidR="007345D1" w:rsidRPr="00C35D64">
        <w:rPr>
          <w:rFonts w:ascii="Times New Roman" w:hAnsi="Times New Roman" w:cs="Times New Roman"/>
        </w:rPr>
        <w:t xml:space="preserve">nėra vien didesnis </w:t>
      </w:r>
      <w:r w:rsidR="002A4917" w:rsidRPr="00C35D64">
        <w:rPr>
          <w:rFonts w:ascii="Times New Roman" w:hAnsi="Times New Roman" w:cs="Times New Roman"/>
        </w:rPr>
        <w:t xml:space="preserve">finansinis stabilumas </w:t>
      </w:r>
      <w:r w:rsidR="007345D1" w:rsidRPr="00C35D64">
        <w:rPr>
          <w:rFonts w:ascii="Times New Roman" w:hAnsi="Times New Roman" w:cs="Times New Roman"/>
        </w:rPr>
        <w:t>Lietuvos piliečiams</w:t>
      </w:r>
      <w:r w:rsidR="002A4917" w:rsidRPr="00C35D64">
        <w:rPr>
          <w:rFonts w:ascii="Times New Roman" w:hAnsi="Times New Roman" w:cs="Times New Roman"/>
        </w:rPr>
        <w:t xml:space="preserve">, bet ir investicijų į strategines </w:t>
      </w:r>
      <w:r w:rsidR="007345D1" w:rsidRPr="00C35D64">
        <w:rPr>
          <w:rFonts w:ascii="Times New Roman" w:hAnsi="Times New Roman" w:cs="Times New Roman"/>
        </w:rPr>
        <w:t xml:space="preserve">šalies </w:t>
      </w:r>
      <w:r w:rsidR="002A4917" w:rsidRPr="00C35D64">
        <w:rPr>
          <w:rFonts w:ascii="Times New Roman" w:hAnsi="Times New Roman" w:cs="Times New Roman"/>
        </w:rPr>
        <w:t xml:space="preserve">sritis – gynybą, energetiką, inovacijas – šaltinis. </w:t>
      </w:r>
    </w:p>
    <w:p w14:paraId="39F56798" w14:textId="1C6FA5A8" w:rsidR="00E507F9" w:rsidRPr="00C35D64" w:rsidRDefault="000C03A2" w:rsidP="00547C2C">
      <w:pPr>
        <w:jc w:val="both"/>
        <w:rPr>
          <w:rFonts w:ascii="Times New Roman" w:hAnsi="Times New Roman" w:cs="Times New Roman"/>
        </w:rPr>
      </w:pPr>
      <w:r w:rsidRPr="00C35D64">
        <w:rPr>
          <w:rFonts w:ascii="Times New Roman" w:hAnsi="Times New Roman" w:cs="Times New Roman"/>
        </w:rPr>
        <w:t xml:space="preserve">O </w:t>
      </w:r>
      <w:r w:rsidR="002A4917" w:rsidRPr="00C35D64">
        <w:rPr>
          <w:rFonts w:ascii="Times New Roman" w:hAnsi="Times New Roman" w:cs="Times New Roman"/>
        </w:rPr>
        <w:t xml:space="preserve">ką darome mes? </w:t>
      </w:r>
      <w:r w:rsidR="00227A7B" w:rsidRPr="00C35D64">
        <w:rPr>
          <w:rFonts w:ascii="Times New Roman" w:hAnsi="Times New Roman" w:cs="Times New Roman"/>
        </w:rPr>
        <w:t xml:space="preserve">Ogi </w:t>
      </w:r>
      <w:r w:rsidR="002A4917" w:rsidRPr="00C35D64">
        <w:rPr>
          <w:rFonts w:ascii="Times New Roman" w:hAnsi="Times New Roman" w:cs="Times New Roman"/>
        </w:rPr>
        <w:t xml:space="preserve">atidarome </w:t>
      </w:r>
      <w:r w:rsidR="0095244B" w:rsidRPr="00C35D64">
        <w:rPr>
          <w:rFonts w:ascii="Times New Roman" w:hAnsi="Times New Roman" w:cs="Times New Roman"/>
        </w:rPr>
        <w:t>21 mėnesio trukmės „langą“</w:t>
      </w:r>
      <w:r w:rsidR="00E507F9" w:rsidRPr="00C35D64">
        <w:rPr>
          <w:rFonts w:ascii="Times New Roman" w:hAnsi="Times New Roman" w:cs="Times New Roman"/>
        </w:rPr>
        <w:t xml:space="preserve"> </w:t>
      </w:r>
      <w:r w:rsidR="002A4917" w:rsidRPr="00C35D64">
        <w:rPr>
          <w:rFonts w:ascii="Times New Roman" w:hAnsi="Times New Roman" w:cs="Times New Roman"/>
        </w:rPr>
        <w:t xml:space="preserve">visiems </w:t>
      </w:r>
      <w:r w:rsidR="00E507F9" w:rsidRPr="00C35D64">
        <w:rPr>
          <w:rFonts w:ascii="Times New Roman" w:hAnsi="Times New Roman" w:cs="Times New Roman"/>
        </w:rPr>
        <w:t xml:space="preserve">norintiems išeiti </w:t>
      </w:r>
      <w:r w:rsidR="002A4917" w:rsidRPr="00C35D64">
        <w:rPr>
          <w:rFonts w:ascii="Times New Roman" w:hAnsi="Times New Roman" w:cs="Times New Roman"/>
        </w:rPr>
        <w:t xml:space="preserve">iš pensijų kaupimo. </w:t>
      </w:r>
      <w:r w:rsidR="00E507F9" w:rsidRPr="00C35D64">
        <w:rPr>
          <w:rFonts w:ascii="Times New Roman" w:hAnsi="Times New Roman" w:cs="Times New Roman"/>
        </w:rPr>
        <w:t xml:space="preserve">Tiesą sakant, netgi ne atidarome langą, o plačiai atlapojame duris – be </w:t>
      </w:r>
      <w:r w:rsidR="002A4917" w:rsidRPr="00C35D64">
        <w:rPr>
          <w:rFonts w:ascii="Times New Roman" w:hAnsi="Times New Roman" w:cs="Times New Roman"/>
        </w:rPr>
        <w:t xml:space="preserve">kontrolės, be </w:t>
      </w:r>
      <w:r w:rsidR="00BD6ECE" w:rsidRPr="00C35D64">
        <w:rPr>
          <w:rFonts w:ascii="Times New Roman" w:hAnsi="Times New Roman" w:cs="Times New Roman"/>
        </w:rPr>
        <w:t xml:space="preserve">jokio </w:t>
      </w:r>
      <w:r w:rsidR="002A4917" w:rsidRPr="00C35D64">
        <w:rPr>
          <w:rFonts w:ascii="Times New Roman" w:hAnsi="Times New Roman" w:cs="Times New Roman"/>
        </w:rPr>
        <w:t xml:space="preserve">plano. Dar ir papildomai įteisiname neribotą įmokų stabdymą. </w:t>
      </w:r>
    </w:p>
    <w:p w14:paraId="028D832E" w14:textId="2F4EDDFF" w:rsidR="002A4917" w:rsidRPr="00C35D64" w:rsidRDefault="002A4917" w:rsidP="00547C2C">
      <w:pPr>
        <w:jc w:val="both"/>
        <w:rPr>
          <w:rFonts w:ascii="Times New Roman" w:hAnsi="Times New Roman" w:cs="Times New Roman"/>
        </w:rPr>
      </w:pPr>
      <w:r w:rsidRPr="00C35D64">
        <w:rPr>
          <w:rFonts w:ascii="Times New Roman" w:hAnsi="Times New Roman" w:cs="Times New Roman"/>
        </w:rPr>
        <w:t>Genialu</w:t>
      </w:r>
      <w:r w:rsidR="00F3541A" w:rsidRPr="00C35D64">
        <w:rPr>
          <w:rFonts w:ascii="Times New Roman" w:hAnsi="Times New Roman" w:cs="Times New Roman"/>
        </w:rPr>
        <w:t>.</w:t>
      </w:r>
      <w:r w:rsidRPr="00C35D64">
        <w:rPr>
          <w:rFonts w:ascii="Times New Roman" w:hAnsi="Times New Roman" w:cs="Times New Roman"/>
        </w:rPr>
        <w:t xml:space="preserve"> </w:t>
      </w:r>
      <w:r w:rsidR="00F3541A" w:rsidRPr="00C35D64">
        <w:rPr>
          <w:rFonts w:ascii="Times New Roman" w:hAnsi="Times New Roman" w:cs="Times New Roman"/>
        </w:rPr>
        <w:t>M</w:t>
      </w:r>
      <w:r w:rsidRPr="00C35D64">
        <w:rPr>
          <w:rFonts w:ascii="Times New Roman" w:hAnsi="Times New Roman" w:cs="Times New Roman"/>
        </w:rPr>
        <w:t xml:space="preserve">ažėjančio gimstamumo ir senstančios visuomenės </w:t>
      </w:r>
      <w:r w:rsidR="00FA6B61" w:rsidRPr="00C35D64">
        <w:rPr>
          <w:rFonts w:ascii="Times New Roman" w:hAnsi="Times New Roman" w:cs="Times New Roman"/>
        </w:rPr>
        <w:t>akivaizdoje</w:t>
      </w:r>
      <w:r w:rsidR="006306A6" w:rsidRPr="00C35D64">
        <w:rPr>
          <w:rFonts w:ascii="Times New Roman" w:hAnsi="Times New Roman" w:cs="Times New Roman"/>
        </w:rPr>
        <w:t xml:space="preserve"> </w:t>
      </w:r>
      <w:r w:rsidRPr="00C35D64">
        <w:rPr>
          <w:rFonts w:ascii="Times New Roman" w:hAnsi="Times New Roman" w:cs="Times New Roman"/>
        </w:rPr>
        <w:t xml:space="preserve">mes nusprendžiame </w:t>
      </w:r>
      <w:r w:rsidR="00F90FD0" w:rsidRPr="00C35D64">
        <w:rPr>
          <w:rFonts w:ascii="Times New Roman" w:hAnsi="Times New Roman" w:cs="Times New Roman"/>
        </w:rPr>
        <w:t>iš esmės su</w:t>
      </w:r>
      <w:r w:rsidRPr="00C35D64">
        <w:rPr>
          <w:rFonts w:ascii="Times New Roman" w:hAnsi="Times New Roman" w:cs="Times New Roman"/>
        </w:rPr>
        <w:t xml:space="preserve">silpninti vieną pagrindinių </w:t>
      </w:r>
      <w:r w:rsidR="0058305B" w:rsidRPr="00C35D64">
        <w:rPr>
          <w:rFonts w:ascii="Times New Roman" w:hAnsi="Times New Roman" w:cs="Times New Roman"/>
        </w:rPr>
        <w:t xml:space="preserve">ateities </w:t>
      </w:r>
      <w:r w:rsidRPr="00C35D64">
        <w:rPr>
          <w:rFonts w:ascii="Times New Roman" w:hAnsi="Times New Roman" w:cs="Times New Roman"/>
        </w:rPr>
        <w:t xml:space="preserve">socialinės apsaugos ramsčių. </w:t>
      </w:r>
      <w:r w:rsidR="0058305B" w:rsidRPr="00C35D64">
        <w:rPr>
          <w:rFonts w:ascii="Times New Roman" w:hAnsi="Times New Roman" w:cs="Times New Roman"/>
        </w:rPr>
        <w:t xml:space="preserve">Kitaip tariant </w:t>
      </w:r>
      <w:r w:rsidR="00F90FD0" w:rsidRPr="00C35D64">
        <w:rPr>
          <w:rFonts w:ascii="Times New Roman" w:hAnsi="Times New Roman" w:cs="Times New Roman"/>
        </w:rPr>
        <w:t>–</w:t>
      </w:r>
      <w:r w:rsidR="0058305B" w:rsidRPr="00C35D64">
        <w:rPr>
          <w:rFonts w:ascii="Times New Roman" w:hAnsi="Times New Roman" w:cs="Times New Roman"/>
        </w:rPr>
        <w:t xml:space="preserve"> </w:t>
      </w:r>
      <w:r w:rsidR="00F90FD0" w:rsidRPr="00C35D64">
        <w:rPr>
          <w:rFonts w:ascii="Times New Roman" w:hAnsi="Times New Roman" w:cs="Times New Roman"/>
        </w:rPr>
        <w:t xml:space="preserve">imkite ir išleiskite savo sukauptus pinigus, o ką </w:t>
      </w:r>
      <w:r w:rsidRPr="00C35D64">
        <w:rPr>
          <w:rFonts w:ascii="Times New Roman" w:hAnsi="Times New Roman" w:cs="Times New Roman"/>
        </w:rPr>
        <w:t xml:space="preserve">valgysite senatvėje, </w:t>
      </w:r>
      <w:r w:rsidR="00FE7000" w:rsidRPr="00C35D64">
        <w:rPr>
          <w:rFonts w:ascii="Times New Roman" w:hAnsi="Times New Roman" w:cs="Times New Roman"/>
        </w:rPr>
        <w:t xml:space="preserve">tada ir </w:t>
      </w:r>
      <w:r w:rsidR="002F2A62" w:rsidRPr="00C35D64">
        <w:rPr>
          <w:rFonts w:ascii="Times New Roman" w:hAnsi="Times New Roman" w:cs="Times New Roman"/>
        </w:rPr>
        <w:t>matysim</w:t>
      </w:r>
      <w:r w:rsidR="00FE7000" w:rsidRPr="00C35D64">
        <w:rPr>
          <w:rFonts w:ascii="Times New Roman" w:hAnsi="Times New Roman" w:cs="Times New Roman"/>
        </w:rPr>
        <w:t>.</w:t>
      </w:r>
      <w:r w:rsidRPr="00C35D64">
        <w:rPr>
          <w:rFonts w:ascii="Times New Roman" w:hAnsi="Times New Roman" w:cs="Times New Roman"/>
        </w:rPr>
        <w:t xml:space="preserve"> Nuoširdžiai</w:t>
      </w:r>
      <w:r w:rsidR="002F2A62" w:rsidRPr="00C35D64">
        <w:rPr>
          <w:rFonts w:ascii="Times New Roman" w:hAnsi="Times New Roman" w:cs="Times New Roman"/>
        </w:rPr>
        <w:t xml:space="preserve"> – atrodo, </w:t>
      </w:r>
      <w:r w:rsidRPr="00C35D64">
        <w:rPr>
          <w:rFonts w:ascii="Times New Roman" w:hAnsi="Times New Roman" w:cs="Times New Roman"/>
        </w:rPr>
        <w:t xml:space="preserve">kad Vyriausybė </w:t>
      </w:r>
      <w:r w:rsidR="00FA38A6" w:rsidRPr="00C35D64">
        <w:rPr>
          <w:rFonts w:ascii="Times New Roman" w:hAnsi="Times New Roman" w:cs="Times New Roman"/>
        </w:rPr>
        <w:t xml:space="preserve">tiesiog </w:t>
      </w:r>
      <w:r w:rsidRPr="00C35D64">
        <w:rPr>
          <w:rFonts w:ascii="Times New Roman" w:hAnsi="Times New Roman" w:cs="Times New Roman"/>
        </w:rPr>
        <w:t xml:space="preserve">sąmoningai ignoruoja </w:t>
      </w:r>
      <w:r w:rsidR="00FA38A6" w:rsidRPr="00C35D64">
        <w:rPr>
          <w:rFonts w:ascii="Times New Roman" w:hAnsi="Times New Roman" w:cs="Times New Roman"/>
        </w:rPr>
        <w:t xml:space="preserve">visas ekspertų įžvalgas bei perspėjimus. </w:t>
      </w:r>
    </w:p>
    <w:p w14:paraId="13B17DCD" w14:textId="1E38C630" w:rsidR="002A4917" w:rsidRPr="00C35D64" w:rsidRDefault="0046702E" w:rsidP="00547C2C">
      <w:pPr>
        <w:jc w:val="both"/>
        <w:rPr>
          <w:rFonts w:ascii="Times New Roman" w:hAnsi="Times New Roman" w:cs="Times New Roman"/>
        </w:rPr>
      </w:pPr>
      <w:r w:rsidRPr="00C35D64">
        <w:rPr>
          <w:rFonts w:ascii="Times New Roman" w:hAnsi="Times New Roman" w:cs="Times New Roman"/>
        </w:rPr>
        <w:t>Negana to, k</w:t>
      </w:r>
      <w:r w:rsidR="002A4917" w:rsidRPr="00C35D64">
        <w:rPr>
          <w:rFonts w:ascii="Times New Roman" w:hAnsi="Times New Roman" w:cs="Times New Roman"/>
        </w:rPr>
        <w:t xml:space="preserve">ovo mėnesį </w:t>
      </w:r>
      <w:r w:rsidRPr="00C35D64">
        <w:rPr>
          <w:rFonts w:ascii="Times New Roman" w:hAnsi="Times New Roman" w:cs="Times New Roman"/>
        </w:rPr>
        <w:t xml:space="preserve">EK </w:t>
      </w:r>
      <w:r w:rsidR="002A4917" w:rsidRPr="00C35D64">
        <w:rPr>
          <w:rFonts w:ascii="Times New Roman" w:hAnsi="Times New Roman" w:cs="Times New Roman"/>
        </w:rPr>
        <w:t>paskelbt</w:t>
      </w:r>
      <w:r w:rsidRPr="00C35D64">
        <w:rPr>
          <w:rFonts w:ascii="Times New Roman" w:hAnsi="Times New Roman" w:cs="Times New Roman"/>
        </w:rPr>
        <w:t>oje</w:t>
      </w:r>
      <w:r w:rsidR="002A4917" w:rsidRPr="00C35D64">
        <w:rPr>
          <w:rFonts w:ascii="Times New Roman" w:hAnsi="Times New Roman" w:cs="Times New Roman"/>
        </w:rPr>
        <w:t xml:space="preserve"> Taupymo ir investavimo strategij</w:t>
      </w:r>
      <w:r w:rsidRPr="00C35D64">
        <w:rPr>
          <w:rFonts w:ascii="Times New Roman" w:hAnsi="Times New Roman" w:cs="Times New Roman"/>
        </w:rPr>
        <w:t>oje</w:t>
      </w:r>
      <w:r w:rsidR="002A4917" w:rsidRPr="00C35D64">
        <w:rPr>
          <w:rFonts w:ascii="Times New Roman" w:hAnsi="Times New Roman" w:cs="Times New Roman"/>
        </w:rPr>
        <w:t xml:space="preserve"> labai aiškiai pabrėž</w:t>
      </w:r>
      <w:r w:rsidRPr="00C35D64">
        <w:rPr>
          <w:rFonts w:ascii="Times New Roman" w:hAnsi="Times New Roman" w:cs="Times New Roman"/>
        </w:rPr>
        <w:t xml:space="preserve">ta, kad </w:t>
      </w:r>
      <w:r w:rsidR="002A4917" w:rsidRPr="00C35D64">
        <w:rPr>
          <w:rFonts w:ascii="Times New Roman" w:hAnsi="Times New Roman" w:cs="Times New Roman"/>
        </w:rPr>
        <w:t>antros</w:t>
      </w:r>
      <w:r w:rsidRPr="00C35D64">
        <w:rPr>
          <w:rFonts w:ascii="Times New Roman" w:hAnsi="Times New Roman" w:cs="Times New Roman"/>
        </w:rPr>
        <w:t>ios</w:t>
      </w:r>
      <w:r w:rsidR="002A4917" w:rsidRPr="00C35D64">
        <w:rPr>
          <w:rFonts w:ascii="Times New Roman" w:hAnsi="Times New Roman" w:cs="Times New Roman"/>
        </w:rPr>
        <w:t xml:space="preserve"> pakopos pensijos yra ne tik būtinos individualiam finansiniam saugumui, bet ir – atkreipkite dėmesį – investicijų mobilizavimui visos E</w:t>
      </w:r>
      <w:r w:rsidR="00922BB9" w:rsidRPr="00C35D64">
        <w:rPr>
          <w:rFonts w:ascii="Times New Roman" w:hAnsi="Times New Roman" w:cs="Times New Roman"/>
        </w:rPr>
        <w:t xml:space="preserve">uropos </w:t>
      </w:r>
      <w:r w:rsidR="002A4917" w:rsidRPr="00C35D64">
        <w:rPr>
          <w:rFonts w:ascii="Times New Roman" w:hAnsi="Times New Roman" w:cs="Times New Roman"/>
        </w:rPr>
        <w:t>S</w:t>
      </w:r>
      <w:r w:rsidR="00922BB9" w:rsidRPr="00C35D64">
        <w:rPr>
          <w:rFonts w:ascii="Times New Roman" w:hAnsi="Times New Roman" w:cs="Times New Roman"/>
        </w:rPr>
        <w:t>ąjungos (ES)</w:t>
      </w:r>
      <w:r w:rsidR="002A4917" w:rsidRPr="00C35D64">
        <w:rPr>
          <w:rFonts w:ascii="Times New Roman" w:hAnsi="Times New Roman" w:cs="Times New Roman"/>
        </w:rPr>
        <w:t xml:space="preserve"> mastu. Kitaip tariant, </w:t>
      </w:r>
      <w:r w:rsidR="00D45CFB" w:rsidRPr="00C35D64">
        <w:rPr>
          <w:rFonts w:ascii="Times New Roman" w:hAnsi="Times New Roman" w:cs="Times New Roman"/>
        </w:rPr>
        <w:t xml:space="preserve">šiais siūlymais mes ne tik šaudome į kojas sau, bet bandome torpeduoti ir </w:t>
      </w:r>
      <w:r w:rsidR="00362459" w:rsidRPr="00C35D64">
        <w:rPr>
          <w:rFonts w:ascii="Times New Roman" w:hAnsi="Times New Roman" w:cs="Times New Roman"/>
        </w:rPr>
        <w:t xml:space="preserve">visos </w:t>
      </w:r>
      <w:r w:rsidR="002A4917" w:rsidRPr="00C35D64">
        <w:rPr>
          <w:rFonts w:ascii="Times New Roman" w:hAnsi="Times New Roman" w:cs="Times New Roman"/>
        </w:rPr>
        <w:t>ES siek</w:t>
      </w:r>
      <w:r w:rsidR="00D45CFB" w:rsidRPr="00C35D64">
        <w:rPr>
          <w:rFonts w:ascii="Times New Roman" w:hAnsi="Times New Roman" w:cs="Times New Roman"/>
        </w:rPr>
        <w:t>į</w:t>
      </w:r>
      <w:r w:rsidR="002A4917" w:rsidRPr="00C35D64">
        <w:rPr>
          <w:rFonts w:ascii="Times New Roman" w:hAnsi="Times New Roman" w:cs="Times New Roman"/>
        </w:rPr>
        <w:t xml:space="preserve"> </w:t>
      </w:r>
      <w:r w:rsidR="00D45CFB" w:rsidRPr="00C35D64">
        <w:rPr>
          <w:rFonts w:ascii="Times New Roman" w:hAnsi="Times New Roman" w:cs="Times New Roman"/>
        </w:rPr>
        <w:t xml:space="preserve">drauge </w:t>
      </w:r>
      <w:r w:rsidR="002A4917" w:rsidRPr="00C35D64">
        <w:rPr>
          <w:rFonts w:ascii="Times New Roman" w:hAnsi="Times New Roman" w:cs="Times New Roman"/>
        </w:rPr>
        <w:t xml:space="preserve">stiprinti bendrą </w:t>
      </w:r>
      <w:r w:rsidR="00D45CFB" w:rsidRPr="00C35D64">
        <w:rPr>
          <w:rFonts w:ascii="Times New Roman" w:hAnsi="Times New Roman" w:cs="Times New Roman"/>
        </w:rPr>
        <w:t xml:space="preserve">bloko </w:t>
      </w:r>
      <w:r w:rsidR="002A4917" w:rsidRPr="00C35D64">
        <w:rPr>
          <w:rFonts w:ascii="Times New Roman" w:hAnsi="Times New Roman" w:cs="Times New Roman"/>
        </w:rPr>
        <w:t>ekonominį stuburą.</w:t>
      </w:r>
      <w:r w:rsidR="00D45CFB" w:rsidRPr="00C35D64">
        <w:rPr>
          <w:rFonts w:ascii="Times New Roman" w:hAnsi="Times New Roman" w:cs="Times New Roman"/>
        </w:rPr>
        <w:t xml:space="preserve"> </w:t>
      </w:r>
    </w:p>
    <w:p w14:paraId="73D6E617" w14:textId="55B6753F" w:rsidR="007D0DA8" w:rsidRPr="00C35D64" w:rsidRDefault="00F26757" w:rsidP="00547C2C">
      <w:pPr>
        <w:jc w:val="both"/>
        <w:rPr>
          <w:rFonts w:ascii="Times New Roman" w:hAnsi="Times New Roman" w:cs="Times New Roman"/>
          <w:b/>
          <w:bCs/>
        </w:rPr>
      </w:pPr>
      <w:r>
        <w:rPr>
          <w:rFonts w:ascii="Times New Roman" w:hAnsi="Times New Roman" w:cs="Times New Roman"/>
          <w:b/>
          <w:bCs/>
        </w:rPr>
        <w:t xml:space="preserve">EBPO piešia niūrią ateitį </w:t>
      </w:r>
    </w:p>
    <w:p w14:paraId="3B68AB80" w14:textId="7F65F1B2" w:rsidR="00E65E73" w:rsidRPr="00C35D64" w:rsidRDefault="00F26757" w:rsidP="00547C2C">
      <w:pPr>
        <w:jc w:val="both"/>
        <w:rPr>
          <w:rFonts w:ascii="Times New Roman" w:hAnsi="Times New Roman" w:cs="Times New Roman"/>
        </w:rPr>
      </w:pPr>
      <w:r>
        <w:rPr>
          <w:rFonts w:ascii="Times New Roman" w:hAnsi="Times New Roman" w:cs="Times New Roman"/>
        </w:rPr>
        <w:t xml:space="preserve">Naujausiose </w:t>
      </w:r>
      <w:r w:rsidR="002A4917" w:rsidRPr="00C35D64">
        <w:rPr>
          <w:rFonts w:ascii="Times New Roman" w:hAnsi="Times New Roman" w:cs="Times New Roman"/>
        </w:rPr>
        <w:t xml:space="preserve">Ekonominio bendradarbiavimo ir plėtros organizacijos (EBPO) </w:t>
      </w:r>
      <w:r w:rsidR="003B5591" w:rsidRPr="00C35D64">
        <w:rPr>
          <w:rFonts w:ascii="Times New Roman" w:hAnsi="Times New Roman" w:cs="Times New Roman"/>
        </w:rPr>
        <w:t>rekomendacijose Lietuvai pasi</w:t>
      </w:r>
      <w:r>
        <w:rPr>
          <w:rFonts w:ascii="Times New Roman" w:hAnsi="Times New Roman" w:cs="Times New Roman"/>
        </w:rPr>
        <w:t xml:space="preserve">ųstas </w:t>
      </w:r>
      <w:r w:rsidR="00E65E73" w:rsidRPr="00C35D64">
        <w:rPr>
          <w:rFonts w:ascii="Times New Roman" w:hAnsi="Times New Roman" w:cs="Times New Roman"/>
        </w:rPr>
        <w:t>stipr</w:t>
      </w:r>
      <w:r>
        <w:rPr>
          <w:rFonts w:ascii="Times New Roman" w:hAnsi="Times New Roman" w:cs="Times New Roman"/>
        </w:rPr>
        <w:t>us</w:t>
      </w:r>
      <w:r w:rsidR="00E65E73" w:rsidRPr="00C35D64">
        <w:rPr>
          <w:rFonts w:ascii="Times New Roman" w:hAnsi="Times New Roman" w:cs="Times New Roman"/>
        </w:rPr>
        <w:t xml:space="preserve"> pavojaus signal</w:t>
      </w:r>
      <w:r>
        <w:rPr>
          <w:rFonts w:ascii="Times New Roman" w:hAnsi="Times New Roman" w:cs="Times New Roman"/>
        </w:rPr>
        <w:t>as</w:t>
      </w:r>
      <w:r w:rsidR="003B5591" w:rsidRPr="00C35D64">
        <w:rPr>
          <w:rFonts w:ascii="Times New Roman" w:hAnsi="Times New Roman" w:cs="Times New Roman"/>
        </w:rPr>
        <w:t>,</w:t>
      </w:r>
      <w:r w:rsidR="00E65E73" w:rsidRPr="00C35D64">
        <w:rPr>
          <w:rFonts w:ascii="Times New Roman" w:hAnsi="Times New Roman" w:cs="Times New Roman"/>
        </w:rPr>
        <w:t xml:space="preserve"> konstatavus, kad mūsų šalis </w:t>
      </w:r>
      <w:r>
        <w:rPr>
          <w:rFonts w:ascii="Times New Roman" w:hAnsi="Times New Roman" w:cs="Times New Roman"/>
        </w:rPr>
        <w:t xml:space="preserve">ateityje </w:t>
      </w:r>
      <w:r w:rsidR="00E65E73" w:rsidRPr="00C35D64">
        <w:rPr>
          <w:rFonts w:ascii="Times New Roman" w:hAnsi="Times New Roman" w:cs="Times New Roman"/>
        </w:rPr>
        <w:t>„susidurs su dideliu demografiniu šoku, kuris reikalaus valstybės vykdomos politikos pokyčių daugelyje sričių“.</w:t>
      </w:r>
      <w:r w:rsidR="00BA4AAE" w:rsidRPr="00C35D64">
        <w:rPr>
          <w:rFonts w:ascii="Times New Roman" w:hAnsi="Times New Roman" w:cs="Times New Roman"/>
        </w:rPr>
        <w:t xml:space="preserve"> </w:t>
      </w:r>
    </w:p>
    <w:p w14:paraId="19217851" w14:textId="3BE15B24" w:rsidR="002A4917" w:rsidRPr="00C35D64" w:rsidRDefault="00B66ACD" w:rsidP="00547C2C">
      <w:pPr>
        <w:jc w:val="both"/>
        <w:rPr>
          <w:rFonts w:ascii="Times New Roman" w:hAnsi="Times New Roman" w:cs="Times New Roman"/>
        </w:rPr>
      </w:pPr>
      <w:r w:rsidRPr="00C35D64">
        <w:rPr>
          <w:rFonts w:ascii="Times New Roman" w:hAnsi="Times New Roman" w:cs="Times New Roman"/>
        </w:rPr>
        <w:t xml:space="preserve">EBPO ne tik </w:t>
      </w:r>
      <w:r w:rsidR="00DA502C" w:rsidRPr="00C35D64">
        <w:rPr>
          <w:rFonts w:ascii="Times New Roman" w:hAnsi="Times New Roman" w:cs="Times New Roman"/>
        </w:rPr>
        <w:t xml:space="preserve">atkreipia dėmesį į </w:t>
      </w:r>
      <w:r w:rsidR="002A4917" w:rsidRPr="00C35D64">
        <w:rPr>
          <w:rFonts w:ascii="Times New Roman" w:hAnsi="Times New Roman" w:cs="Times New Roman"/>
        </w:rPr>
        <w:t>realią grėsmę pensijų tvarumui dėl visuomenės senėjimo</w:t>
      </w:r>
      <w:r w:rsidR="00DA502C" w:rsidRPr="00C35D64">
        <w:rPr>
          <w:rFonts w:ascii="Times New Roman" w:hAnsi="Times New Roman" w:cs="Times New Roman"/>
        </w:rPr>
        <w:t>,</w:t>
      </w:r>
      <w:r w:rsidR="002A4917" w:rsidRPr="00C35D64">
        <w:rPr>
          <w:rFonts w:ascii="Times New Roman" w:hAnsi="Times New Roman" w:cs="Times New Roman"/>
        </w:rPr>
        <w:t xml:space="preserve"> bet ir perspėja</w:t>
      </w:r>
      <w:r w:rsidR="00DA502C" w:rsidRPr="00C35D64">
        <w:rPr>
          <w:rFonts w:ascii="Times New Roman" w:hAnsi="Times New Roman" w:cs="Times New Roman"/>
        </w:rPr>
        <w:t xml:space="preserve">, kad šalies </w:t>
      </w:r>
      <w:r w:rsidR="002A4917" w:rsidRPr="00C35D64">
        <w:rPr>
          <w:rFonts w:ascii="Times New Roman" w:hAnsi="Times New Roman" w:cs="Times New Roman"/>
        </w:rPr>
        <w:t>pensijų sistem</w:t>
      </w:r>
      <w:r w:rsidR="00DA502C" w:rsidRPr="00C35D64">
        <w:rPr>
          <w:rFonts w:ascii="Times New Roman" w:hAnsi="Times New Roman" w:cs="Times New Roman"/>
        </w:rPr>
        <w:t>a</w:t>
      </w:r>
      <w:r w:rsidR="002A4917" w:rsidRPr="00C35D64">
        <w:rPr>
          <w:rFonts w:ascii="Times New Roman" w:hAnsi="Times New Roman" w:cs="Times New Roman"/>
        </w:rPr>
        <w:t xml:space="preserve"> turėtų būti kuo universalesnė, aprėpian</w:t>
      </w:r>
      <w:r w:rsidR="00DA502C" w:rsidRPr="00C35D64">
        <w:rPr>
          <w:rFonts w:ascii="Times New Roman" w:hAnsi="Times New Roman" w:cs="Times New Roman"/>
        </w:rPr>
        <w:t>ti</w:t>
      </w:r>
      <w:r w:rsidR="002A4917" w:rsidRPr="00C35D64">
        <w:rPr>
          <w:rFonts w:ascii="Times New Roman" w:hAnsi="Times New Roman" w:cs="Times New Roman"/>
        </w:rPr>
        <w:t xml:space="preserve"> kuo didesnę gyventojų dalį</w:t>
      </w:r>
      <w:r w:rsidR="00372985" w:rsidRPr="00C35D64">
        <w:rPr>
          <w:rFonts w:ascii="Times New Roman" w:hAnsi="Times New Roman" w:cs="Times New Roman"/>
        </w:rPr>
        <w:t>;</w:t>
      </w:r>
      <w:r w:rsidR="00C90638" w:rsidRPr="00C35D64">
        <w:rPr>
          <w:rFonts w:ascii="Times New Roman" w:hAnsi="Times New Roman" w:cs="Times New Roman"/>
        </w:rPr>
        <w:t xml:space="preserve"> </w:t>
      </w:r>
      <w:r w:rsidR="00372985" w:rsidRPr="00C35D64">
        <w:rPr>
          <w:rFonts w:ascii="Times New Roman" w:hAnsi="Times New Roman" w:cs="Times New Roman"/>
        </w:rPr>
        <w:t xml:space="preserve">turėtų </w:t>
      </w:r>
      <w:r w:rsidR="002A4917" w:rsidRPr="00C35D64">
        <w:rPr>
          <w:rFonts w:ascii="Times New Roman" w:hAnsi="Times New Roman" w:cs="Times New Roman"/>
        </w:rPr>
        <w:t xml:space="preserve">skatinti nuolatinį kaupimą, o ne </w:t>
      </w:r>
      <w:r w:rsidR="00C90638" w:rsidRPr="00C35D64">
        <w:rPr>
          <w:rFonts w:ascii="Times New Roman" w:hAnsi="Times New Roman" w:cs="Times New Roman"/>
        </w:rPr>
        <w:t xml:space="preserve">suteikti </w:t>
      </w:r>
      <w:r w:rsidR="002A4917" w:rsidRPr="00C35D64">
        <w:rPr>
          <w:rFonts w:ascii="Times New Roman" w:hAnsi="Times New Roman" w:cs="Times New Roman"/>
        </w:rPr>
        <w:t xml:space="preserve">galimybę išsigryninti lėšas </w:t>
      </w:r>
      <w:r w:rsidR="00B62565" w:rsidRPr="00C35D64">
        <w:rPr>
          <w:rFonts w:ascii="Times New Roman" w:hAnsi="Times New Roman" w:cs="Times New Roman"/>
        </w:rPr>
        <w:t>vos</w:t>
      </w:r>
      <w:r w:rsidR="00C97710" w:rsidRPr="00C35D64">
        <w:rPr>
          <w:rFonts w:ascii="Times New Roman" w:hAnsi="Times New Roman" w:cs="Times New Roman"/>
        </w:rPr>
        <w:t xml:space="preserve"> panorėjus</w:t>
      </w:r>
      <w:r w:rsidR="002A4917" w:rsidRPr="00C35D64">
        <w:rPr>
          <w:rFonts w:ascii="Times New Roman" w:hAnsi="Times New Roman" w:cs="Times New Roman"/>
        </w:rPr>
        <w:t xml:space="preserve">. </w:t>
      </w:r>
      <w:r w:rsidR="00C97710" w:rsidRPr="00C35D64">
        <w:rPr>
          <w:rFonts w:ascii="Times New Roman" w:hAnsi="Times New Roman" w:cs="Times New Roman"/>
        </w:rPr>
        <w:t xml:space="preserve">Kalbant be užuolankų, </w:t>
      </w:r>
      <w:r w:rsidR="002A4917" w:rsidRPr="00C35D64">
        <w:rPr>
          <w:rFonts w:ascii="Times New Roman" w:hAnsi="Times New Roman" w:cs="Times New Roman"/>
        </w:rPr>
        <w:t xml:space="preserve">tai, ką Lietuva dabar planuoja, EBPO vadina grėsme ilgalaikiam </w:t>
      </w:r>
      <w:r w:rsidR="00C97710" w:rsidRPr="00C35D64">
        <w:rPr>
          <w:rFonts w:ascii="Times New Roman" w:hAnsi="Times New Roman" w:cs="Times New Roman"/>
        </w:rPr>
        <w:t xml:space="preserve">šalies </w:t>
      </w:r>
      <w:r w:rsidR="002A4917" w:rsidRPr="00C35D64">
        <w:rPr>
          <w:rFonts w:ascii="Times New Roman" w:hAnsi="Times New Roman" w:cs="Times New Roman"/>
        </w:rPr>
        <w:t>pajamų saugumui.</w:t>
      </w:r>
      <w:r w:rsidR="00C97710" w:rsidRPr="00C35D64">
        <w:rPr>
          <w:rFonts w:ascii="Times New Roman" w:hAnsi="Times New Roman" w:cs="Times New Roman"/>
        </w:rPr>
        <w:t xml:space="preserve"> </w:t>
      </w:r>
    </w:p>
    <w:p w14:paraId="1CF668B9" w14:textId="353E0AD1" w:rsidR="002A4917" w:rsidRPr="00C35D64" w:rsidRDefault="005D4639" w:rsidP="00547C2C">
      <w:pPr>
        <w:jc w:val="both"/>
        <w:rPr>
          <w:rFonts w:ascii="Times New Roman" w:hAnsi="Times New Roman" w:cs="Times New Roman"/>
        </w:rPr>
      </w:pPr>
      <w:r w:rsidRPr="00C35D64">
        <w:rPr>
          <w:rFonts w:ascii="Times New Roman" w:hAnsi="Times New Roman" w:cs="Times New Roman"/>
        </w:rPr>
        <w:t xml:space="preserve">Jei </w:t>
      </w:r>
      <w:r w:rsidR="002A4917" w:rsidRPr="00C35D64">
        <w:rPr>
          <w:rFonts w:ascii="Times New Roman" w:hAnsi="Times New Roman" w:cs="Times New Roman"/>
        </w:rPr>
        <w:t xml:space="preserve">Lietuvos tikslas – užtikrinti, kad būsimi pensininkai būtų priklausomi nuo „Sodros“ malonės, o kapitalo rinkos liktų stagnacijos būsenos – tuomet sveikinu, einame teisingu keliu. Visi kiti – įskaitant EK, </w:t>
      </w:r>
      <w:r w:rsidR="00BE3C63" w:rsidRPr="00C35D64">
        <w:rPr>
          <w:rFonts w:ascii="Times New Roman" w:hAnsi="Times New Roman" w:cs="Times New Roman"/>
        </w:rPr>
        <w:t xml:space="preserve">TVF ir </w:t>
      </w:r>
      <w:r w:rsidR="002A4917" w:rsidRPr="00C35D64">
        <w:rPr>
          <w:rFonts w:ascii="Times New Roman" w:hAnsi="Times New Roman" w:cs="Times New Roman"/>
        </w:rPr>
        <w:t>EBPO</w:t>
      </w:r>
      <w:r w:rsidR="00BE3C63" w:rsidRPr="00C35D64">
        <w:rPr>
          <w:rFonts w:ascii="Times New Roman" w:hAnsi="Times New Roman" w:cs="Times New Roman"/>
        </w:rPr>
        <w:t xml:space="preserve"> </w:t>
      </w:r>
      <w:r w:rsidR="002A4917" w:rsidRPr="00C35D64">
        <w:rPr>
          <w:rFonts w:ascii="Times New Roman" w:hAnsi="Times New Roman" w:cs="Times New Roman"/>
        </w:rPr>
        <w:t xml:space="preserve">– </w:t>
      </w:r>
      <w:r w:rsidR="0002196F" w:rsidRPr="00C35D64">
        <w:rPr>
          <w:rFonts w:ascii="Times New Roman" w:hAnsi="Times New Roman" w:cs="Times New Roman"/>
        </w:rPr>
        <w:t xml:space="preserve">turbūt </w:t>
      </w:r>
      <w:r w:rsidR="002A4917" w:rsidRPr="00C35D64">
        <w:rPr>
          <w:rFonts w:ascii="Times New Roman" w:hAnsi="Times New Roman" w:cs="Times New Roman"/>
        </w:rPr>
        <w:t>tiesiog nesupranta „vietinio konteksto“</w:t>
      </w:r>
      <w:r w:rsidR="0002196F" w:rsidRPr="00C35D64">
        <w:rPr>
          <w:rFonts w:ascii="Times New Roman" w:hAnsi="Times New Roman" w:cs="Times New Roman"/>
        </w:rPr>
        <w:t xml:space="preserve">. Tik keista, kad jo nesupranta ir mūsų pačių </w:t>
      </w:r>
      <w:r w:rsidR="0070488A" w:rsidRPr="00C35D64">
        <w:rPr>
          <w:rFonts w:ascii="Times New Roman" w:hAnsi="Times New Roman" w:cs="Times New Roman"/>
        </w:rPr>
        <w:t>institucijos – Lietuvos bankas bei Valstybės kontrolė</w:t>
      </w:r>
      <w:r w:rsidR="002A4917" w:rsidRPr="00C35D64">
        <w:rPr>
          <w:rFonts w:ascii="Times New Roman" w:hAnsi="Times New Roman" w:cs="Times New Roman"/>
        </w:rPr>
        <w:t xml:space="preserve">, </w:t>
      </w:r>
      <w:r w:rsidR="0070488A" w:rsidRPr="00C35D64">
        <w:rPr>
          <w:rFonts w:ascii="Times New Roman" w:hAnsi="Times New Roman" w:cs="Times New Roman"/>
        </w:rPr>
        <w:t xml:space="preserve">perspėjantys apie tuos pačius pavojus. </w:t>
      </w:r>
    </w:p>
    <w:p w14:paraId="4B7A7BCB" w14:textId="60EBE782" w:rsidR="003D758A" w:rsidRPr="00C35D64" w:rsidRDefault="003D758A" w:rsidP="00547C2C">
      <w:pPr>
        <w:jc w:val="both"/>
        <w:rPr>
          <w:rFonts w:ascii="Times New Roman" w:hAnsi="Times New Roman" w:cs="Times New Roman"/>
          <w:b/>
          <w:bCs/>
        </w:rPr>
      </w:pPr>
      <w:r w:rsidRPr="00C35D64">
        <w:rPr>
          <w:rFonts w:ascii="Times New Roman" w:hAnsi="Times New Roman" w:cs="Times New Roman"/>
          <w:b/>
          <w:bCs/>
        </w:rPr>
        <w:t xml:space="preserve">Ar išgirsime pavojaus varpus? </w:t>
      </w:r>
    </w:p>
    <w:p w14:paraId="0A8B68D5" w14:textId="7D79FA0B" w:rsidR="002A4917" w:rsidRPr="00C35D64" w:rsidRDefault="001032CA" w:rsidP="00547C2C">
      <w:pPr>
        <w:jc w:val="both"/>
        <w:rPr>
          <w:rFonts w:ascii="Times New Roman" w:hAnsi="Times New Roman" w:cs="Times New Roman"/>
        </w:rPr>
      </w:pPr>
      <w:r w:rsidRPr="00C35D64">
        <w:rPr>
          <w:rFonts w:ascii="Times New Roman" w:hAnsi="Times New Roman" w:cs="Times New Roman"/>
        </w:rPr>
        <w:lastRenderedPageBreak/>
        <w:t xml:space="preserve">Kalbant be sarkazmo, </w:t>
      </w:r>
      <w:r w:rsidR="004E3E3A" w:rsidRPr="00C35D64">
        <w:rPr>
          <w:rFonts w:ascii="Times New Roman" w:hAnsi="Times New Roman" w:cs="Times New Roman"/>
        </w:rPr>
        <w:t xml:space="preserve">galbūt būtų galima laikytis pozicijos, kad </w:t>
      </w:r>
      <w:r w:rsidR="002A4917" w:rsidRPr="00C35D64">
        <w:rPr>
          <w:rFonts w:ascii="Times New Roman" w:hAnsi="Times New Roman" w:cs="Times New Roman"/>
        </w:rPr>
        <w:t>tarptautinės institucijos mums tik siūlo</w:t>
      </w:r>
      <w:r w:rsidR="00CE0DA6" w:rsidRPr="00C35D64">
        <w:rPr>
          <w:rFonts w:ascii="Times New Roman" w:hAnsi="Times New Roman" w:cs="Times New Roman"/>
        </w:rPr>
        <w:t xml:space="preserve"> savo įžvalgas – pataria, bet </w:t>
      </w:r>
      <w:r w:rsidR="002A4917" w:rsidRPr="00C35D64">
        <w:rPr>
          <w:rFonts w:ascii="Times New Roman" w:hAnsi="Times New Roman" w:cs="Times New Roman"/>
        </w:rPr>
        <w:t>neįpareigoja. Bet tada iškyla klausimas</w:t>
      </w:r>
      <w:r w:rsidR="00331E14" w:rsidRPr="00C35D64">
        <w:rPr>
          <w:rFonts w:ascii="Times New Roman" w:hAnsi="Times New Roman" w:cs="Times New Roman"/>
        </w:rPr>
        <w:t>,</w:t>
      </w:r>
      <w:r w:rsidR="002A4917" w:rsidRPr="00C35D64">
        <w:rPr>
          <w:rFonts w:ascii="Times New Roman" w:hAnsi="Times New Roman" w:cs="Times New Roman"/>
        </w:rPr>
        <w:t xml:space="preserve"> kam apskritai reikalingos </w:t>
      </w:r>
      <w:r w:rsidR="00CE0DA6" w:rsidRPr="00C35D64">
        <w:rPr>
          <w:rFonts w:ascii="Times New Roman" w:hAnsi="Times New Roman" w:cs="Times New Roman"/>
        </w:rPr>
        <w:t xml:space="preserve">visos </w:t>
      </w:r>
      <w:r w:rsidR="00170E9C" w:rsidRPr="00C35D64">
        <w:rPr>
          <w:rFonts w:ascii="Times New Roman" w:hAnsi="Times New Roman" w:cs="Times New Roman"/>
        </w:rPr>
        <w:t xml:space="preserve">jų </w:t>
      </w:r>
      <w:r w:rsidR="002A4917" w:rsidRPr="00C35D64">
        <w:rPr>
          <w:rFonts w:ascii="Times New Roman" w:hAnsi="Times New Roman" w:cs="Times New Roman"/>
        </w:rPr>
        <w:t xml:space="preserve">ataskaitos, jei </w:t>
      </w:r>
      <w:r w:rsidR="00170E9C" w:rsidRPr="00C35D64">
        <w:rPr>
          <w:rFonts w:ascii="Times New Roman" w:hAnsi="Times New Roman" w:cs="Times New Roman"/>
        </w:rPr>
        <w:t xml:space="preserve">jose esančias </w:t>
      </w:r>
      <w:r w:rsidR="002A4917" w:rsidRPr="00C35D64">
        <w:rPr>
          <w:rFonts w:ascii="Times New Roman" w:hAnsi="Times New Roman" w:cs="Times New Roman"/>
        </w:rPr>
        <w:t>rekomendacij</w:t>
      </w:r>
      <w:r w:rsidR="00170E9C" w:rsidRPr="00C35D64">
        <w:rPr>
          <w:rFonts w:ascii="Times New Roman" w:hAnsi="Times New Roman" w:cs="Times New Roman"/>
        </w:rPr>
        <w:t>as</w:t>
      </w:r>
      <w:r w:rsidR="002A4917" w:rsidRPr="00C35D64">
        <w:rPr>
          <w:rFonts w:ascii="Times New Roman" w:hAnsi="Times New Roman" w:cs="Times New Roman"/>
        </w:rPr>
        <w:t xml:space="preserve"> </w:t>
      </w:r>
      <w:r w:rsidR="00170E9C" w:rsidRPr="00C35D64">
        <w:rPr>
          <w:rFonts w:ascii="Times New Roman" w:hAnsi="Times New Roman" w:cs="Times New Roman"/>
        </w:rPr>
        <w:t xml:space="preserve">mes </w:t>
      </w:r>
      <w:r w:rsidR="002A4917" w:rsidRPr="00C35D64">
        <w:rPr>
          <w:rFonts w:ascii="Times New Roman" w:hAnsi="Times New Roman" w:cs="Times New Roman"/>
        </w:rPr>
        <w:t>ignoruojam</w:t>
      </w:r>
      <w:r w:rsidR="00F842A0" w:rsidRPr="00C35D64">
        <w:rPr>
          <w:rFonts w:ascii="Times New Roman" w:hAnsi="Times New Roman" w:cs="Times New Roman"/>
        </w:rPr>
        <w:t>e</w:t>
      </w:r>
      <w:r w:rsidR="002A4917" w:rsidRPr="00C35D64">
        <w:rPr>
          <w:rFonts w:ascii="Times New Roman" w:hAnsi="Times New Roman" w:cs="Times New Roman"/>
        </w:rPr>
        <w:t xml:space="preserve"> su tokia demonstratyvia abejingumo doze? </w:t>
      </w:r>
    </w:p>
    <w:p w14:paraId="233CDDFD" w14:textId="1AFB39AB" w:rsidR="002A4917" w:rsidRPr="00C35D64" w:rsidRDefault="002A4917" w:rsidP="00547C2C">
      <w:pPr>
        <w:jc w:val="both"/>
        <w:rPr>
          <w:rFonts w:ascii="Times New Roman" w:hAnsi="Times New Roman" w:cs="Times New Roman"/>
        </w:rPr>
      </w:pPr>
      <w:r w:rsidRPr="00C35D64">
        <w:rPr>
          <w:rFonts w:ascii="Times New Roman" w:hAnsi="Times New Roman" w:cs="Times New Roman"/>
        </w:rPr>
        <w:t xml:space="preserve">Vyriausybė, pritardama </w:t>
      </w:r>
      <w:r w:rsidR="008468E6" w:rsidRPr="00C35D64">
        <w:rPr>
          <w:rFonts w:ascii="Times New Roman" w:hAnsi="Times New Roman" w:cs="Times New Roman"/>
        </w:rPr>
        <w:t xml:space="preserve">SADM </w:t>
      </w:r>
      <w:r w:rsidRPr="00C35D64">
        <w:rPr>
          <w:rFonts w:ascii="Times New Roman" w:hAnsi="Times New Roman" w:cs="Times New Roman"/>
        </w:rPr>
        <w:t xml:space="preserve">siūlymams, </w:t>
      </w:r>
      <w:r w:rsidR="00100820" w:rsidRPr="00C35D64">
        <w:rPr>
          <w:rFonts w:ascii="Times New Roman" w:hAnsi="Times New Roman" w:cs="Times New Roman"/>
        </w:rPr>
        <w:t xml:space="preserve">renkasi </w:t>
      </w:r>
      <w:r w:rsidRPr="00C35D64">
        <w:rPr>
          <w:rFonts w:ascii="Times New Roman" w:hAnsi="Times New Roman" w:cs="Times New Roman"/>
        </w:rPr>
        <w:t>kelią prieš srovę</w:t>
      </w:r>
      <w:r w:rsidR="000526FB" w:rsidRPr="00C35D64">
        <w:rPr>
          <w:rFonts w:ascii="Times New Roman" w:hAnsi="Times New Roman" w:cs="Times New Roman"/>
        </w:rPr>
        <w:t xml:space="preserve"> – ne prieš </w:t>
      </w:r>
      <w:r w:rsidR="00100820" w:rsidRPr="00C35D64">
        <w:rPr>
          <w:rFonts w:ascii="Times New Roman" w:hAnsi="Times New Roman" w:cs="Times New Roman"/>
        </w:rPr>
        <w:t xml:space="preserve">hipotetinę, </w:t>
      </w:r>
      <w:r w:rsidRPr="00C35D64">
        <w:rPr>
          <w:rFonts w:ascii="Times New Roman" w:hAnsi="Times New Roman" w:cs="Times New Roman"/>
        </w:rPr>
        <w:t>retorin</w:t>
      </w:r>
      <w:r w:rsidR="00100820" w:rsidRPr="00C35D64">
        <w:rPr>
          <w:rFonts w:ascii="Times New Roman" w:hAnsi="Times New Roman" w:cs="Times New Roman"/>
        </w:rPr>
        <w:t>ę</w:t>
      </w:r>
      <w:r w:rsidRPr="00C35D64">
        <w:rPr>
          <w:rFonts w:ascii="Times New Roman" w:hAnsi="Times New Roman" w:cs="Times New Roman"/>
        </w:rPr>
        <w:t xml:space="preserve"> ar ideologin</w:t>
      </w:r>
      <w:r w:rsidR="00100820" w:rsidRPr="00C35D64">
        <w:rPr>
          <w:rFonts w:ascii="Times New Roman" w:hAnsi="Times New Roman" w:cs="Times New Roman"/>
        </w:rPr>
        <w:t>ę</w:t>
      </w:r>
      <w:r w:rsidRPr="00C35D64">
        <w:rPr>
          <w:rFonts w:ascii="Times New Roman" w:hAnsi="Times New Roman" w:cs="Times New Roman"/>
        </w:rPr>
        <w:t>, bet prieš ekonominės logikos srovę</w:t>
      </w:r>
      <w:r w:rsidR="000526FB" w:rsidRPr="00C35D64">
        <w:rPr>
          <w:rFonts w:ascii="Times New Roman" w:hAnsi="Times New Roman" w:cs="Times New Roman"/>
        </w:rPr>
        <w:t>. Pensijų kaupimo s</w:t>
      </w:r>
      <w:r w:rsidRPr="00C35D64">
        <w:rPr>
          <w:rFonts w:ascii="Times New Roman" w:hAnsi="Times New Roman" w:cs="Times New Roman"/>
        </w:rPr>
        <w:t>katinimo mechanizmai keičiami atgrasymo priemonėmis – suteikiamos galimybės bet kada pasitraukti iš sistemos, stabdyti įmokas, išsiimti sukauptas lėšas</w:t>
      </w:r>
      <w:r w:rsidR="00E12770" w:rsidRPr="00C35D64">
        <w:rPr>
          <w:rFonts w:ascii="Times New Roman" w:hAnsi="Times New Roman" w:cs="Times New Roman"/>
        </w:rPr>
        <w:t>.</w:t>
      </w:r>
      <w:r w:rsidRPr="00C35D64">
        <w:rPr>
          <w:rFonts w:ascii="Times New Roman" w:hAnsi="Times New Roman" w:cs="Times New Roman"/>
        </w:rPr>
        <w:t xml:space="preserve"> </w:t>
      </w:r>
      <w:r w:rsidR="00E12770" w:rsidRPr="00C35D64">
        <w:rPr>
          <w:rFonts w:ascii="Times New Roman" w:hAnsi="Times New Roman" w:cs="Times New Roman"/>
        </w:rPr>
        <w:t>K</w:t>
      </w:r>
      <w:r w:rsidRPr="00C35D64">
        <w:rPr>
          <w:rFonts w:ascii="Times New Roman" w:hAnsi="Times New Roman" w:cs="Times New Roman"/>
        </w:rPr>
        <w:t xml:space="preserve">itaip tariant, daryti viską, kad žmogus liktų be nieko tada, kai jam </w:t>
      </w:r>
      <w:r w:rsidR="001A15E0" w:rsidRPr="00C35D64">
        <w:rPr>
          <w:rFonts w:ascii="Times New Roman" w:hAnsi="Times New Roman" w:cs="Times New Roman"/>
        </w:rPr>
        <w:t>paramos ir saugumo</w:t>
      </w:r>
      <w:r w:rsidRPr="00C35D64">
        <w:rPr>
          <w:rFonts w:ascii="Times New Roman" w:hAnsi="Times New Roman" w:cs="Times New Roman"/>
        </w:rPr>
        <w:t xml:space="preserve"> reikės</w:t>
      </w:r>
      <w:r w:rsidR="001A15E0" w:rsidRPr="00C35D64">
        <w:rPr>
          <w:rFonts w:ascii="Times New Roman" w:hAnsi="Times New Roman" w:cs="Times New Roman"/>
        </w:rPr>
        <w:t xml:space="preserve"> labiausiai</w:t>
      </w:r>
      <w:r w:rsidRPr="00C35D64">
        <w:rPr>
          <w:rFonts w:ascii="Times New Roman" w:hAnsi="Times New Roman" w:cs="Times New Roman"/>
        </w:rPr>
        <w:t>.</w:t>
      </w:r>
      <w:r w:rsidR="00505E19" w:rsidRPr="00C35D64">
        <w:rPr>
          <w:rFonts w:ascii="Times New Roman" w:hAnsi="Times New Roman" w:cs="Times New Roman"/>
        </w:rPr>
        <w:t xml:space="preserve"> </w:t>
      </w:r>
    </w:p>
    <w:p w14:paraId="2D3A5F6C" w14:textId="469932CA" w:rsidR="004E3E3A" w:rsidRDefault="00DF4C63" w:rsidP="00547C2C">
      <w:pPr>
        <w:jc w:val="both"/>
        <w:rPr>
          <w:rFonts w:ascii="Times New Roman" w:hAnsi="Times New Roman" w:cs="Times New Roman"/>
        </w:rPr>
      </w:pPr>
      <w:r w:rsidRPr="00C35D64">
        <w:rPr>
          <w:rFonts w:ascii="Times New Roman" w:hAnsi="Times New Roman" w:cs="Times New Roman"/>
        </w:rPr>
        <w:t xml:space="preserve">Argumentas </w:t>
      </w:r>
      <w:r w:rsidR="002A4917" w:rsidRPr="00C35D64">
        <w:rPr>
          <w:rFonts w:ascii="Times New Roman" w:hAnsi="Times New Roman" w:cs="Times New Roman"/>
        </w:rPr>
        <w:t xml:space="preserve">„suteikime žmonėms daugiau laisvės“ iš esmės reiškia „leiskime žmonėms padaryti klaidą, bet taip, kad paskui niekas nebūtų už tai atsakingas“. Tai nėra nei laisvė, nei atsakomybė. Tai – institucionalizuotas atsitraukimas nuo valstybės pareigos rūpintis ilgalaikiu </w:t>
      </w:r>
      <w:r w:rsidR="002D6551" w:rsidRPr="00C35D64">
        <w:rPr>
          <w:rFonts w:ascii="Times New Roman" w:hAnsi="Times New Roman" w:cs="Times New Roman"/>
        </w:rPr>
        <w:t xml:space="preserve">piliečių </w:t>
      </w:r>
      <w:r w:rsidR="002A4917" w:rsidRPr="00C35D64">
        <w:rPr>
          <w:rFonts w:ascii="Times New Roman" w:hAnsi="Times New Roman" w:cs="Times New Roman"/>
        </w:rPr>
        <w:t>socialiniu saugumu</w:t>
      </w:r>
      <w:r w:rsidR="0094682D" w:rsidRPr="00C35D64">
        <w:rPr>
          <w:rFonts w:ascii="Times New Roman" w:hAnsi="Times New Roman" w:cs="Times New Roman"/>
        </w:rPr>
        <w:t xml:space="preserve"> ir šalies fiskaline </w:t>
      </w:r>
      <w:r w:rsidR="00A10666" w:rsidRPr="00C35D64">
        <w:rPr>
          <w:rFonts w:ascii="Times New Roman" w:hAnsi="Times New Roman" w:cs="Times New Roman"/>
        </w:rPr>
        <w:t>sveikata</w:t>
      </w:r>
      <w:r w:rsidR="002A4917" w:rsidRPr="00C35D64">
        <w:rPr>
          <w:rFonts w:ascii="Times New Roman" w:hAnsi="Times New Roman" w:cs="Times New Roman"/>
        </w:rPr>
        <w:t>.</w:t>
      </w:r>
      <w:r w:rsidR="00505E19" w:rsidRPr="00C35D64">
        <w:rPr>
          <w:rFonts w:ascii="Times New Roman" w:hAnsi="Times New Roman" w:cs="Times New Roman"/>
        </w:rPr>
        <w:t xml:space="preserve"> </w:t>
      </w:r>
    </w:p>
    <w:p w14:paraId="14EF79B3" w14:textId="77777777" w:rsidR="00A95342" w:rsidRPr="00C35D64" w:rsidRDefault="00A95342" w:rsidP="00547C2C">
      <w:pPr>
        <w:jc w:val="both"/>
        <w:rPr>
          <w:rFonts w:ascii="Times New Roman" w:hAnsi="Times New Roman" w:cs="Times New Roman"/>
        </w:rPr>
      </w:pPr>
    </w:p>
    <w:sectPr w:rsidR="00A95342" w:rsidRPr="00C35D64" w:rsidSect="00C35D64">
      <w:headerReference w:type="default" r:id="rId6"/>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F8255" w14:textId="77777777" w:rsidR="001F56C2" w:rsidRDefault="001F56C2" w:rsidP="00C35D64">
      <w:pPr>
        <w:spacing w:after="0" w:line="240" w:lineRule="auto"/>
      </w:pPr>
      <w:r>
        <w:separator/>
      </w:r>
    </w:p>
  </w:endnote>
  <w:endnote w:type="continuationSeparator" w:id="0">
    <w:p w14:paraId="6D91E957" w14:textId="77777777" w:rsidR="001F56C2" w:rsidRDefault="001F56C2" w:rsidP="00C3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88278" w14:textId="77777777" w:rsidR="001F56C2" w:rsidRDefault="001F56C2" w:rsidP="00C35D64">
      <w:pPr>
        <w:spacing w:after="0" w:line="240" w:lineRule="auto"/>
      </w:pPr>
      <w:r>
        <w:separator/>
      </w:r>
    </w:p>
  </w:footnote>
  <w:footnote w:type="continuationSeparator" w:id="0">
    <w:p w14:paraId="6984A49C" w14:textId="77777777" w:rsidR="001F56C2" w:rsidRDefault="001F56C2" w:rsidP="00C35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D6F47" w14:textId="28CDFBF3" w:rsidR="00C35D64" w:rsidRDefault="00C35D64" w:rsidP="00C35D64">
    <w:pPr>
      <w:pStyle w:val="Header"/>
      <w:jc w:val="right"/>
    </w:pPr>
    <w:r>
      <w:rPr>
        <w:noProof/>
      </w:rPr>
      <w:drawing>
        <wp:inline distT="0" distB="0" distL="0" distR="0" wp14:anchorId="014771B2" wp14:editId="2CE17A07">
          <wp:extent cx="2393950" cy="387350"/>
          <wp:effectExtent l="0" t="0" r="6350" b="0"/>
          <wp:docPr id="140639436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387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A2"/>
    <w:rsid w:val="0002196F"/>
    <w:rsid w:val="00025810"/>
    <w:rsid w:val="000273CC"/>
    <w:rsid w:val="00046F7C"/>
    <w:rsid w:val="000526FB"/>
    <w:rsid w:val="00081BD1"/>
    <w:rsid w:val="000A7D93"/>
    <w:rsid w:val="000C03A2"/>
    <w:rsid w:val="000E34DC"/>
    <w:rsid w:val="000F093B"/>
    <w:rsid w:val="00100820"/>
    <w:rsid w:val="001032CA"/>
    <w:rsid w:val="00170E9C"/>
    <w:rsid w:val="00177A7B"/>
    <w:rsid w:val="00181E20"/>
    <w:rsid w:val="00185AAC"/>
    <w:rsid w:val="00186D43"/>
    <w:rsid w:val="001934B6"/>
    <w:rsid w:val="001937C8"/>
    <w:rsid w:val="001A15E0"/>
    <w:rsid w:val="001D49F7"/>
    <w:rsid w:val="001D62BD"/>
    <w:rsid w:val="001F56C2"/>
    <w:rsid w:val="00227A7B"/>
    <w:rsid w:val="002368FE"/>
    <w:rsid w:val="002A4917"/>
    <w:rsid w:val="002B0C21"/>
    <w:rsid w:val="002D6551"/>
    <w:rsid w:val="002E1EB1"/>
    <w:rsid w:val="002E5BF5"/>
    <w:rsid w:val="002F2A62"/>
    <w:rsid w:val="002F3ABD"/>
    <w:rsid w:val="00301EF3"/>
    <w:rsid w:val="003319D5"/>
    <w:rsid w:val="00331E14"/>
    <w:rsid w:val="00333F86"/>
    <w:rsid w:val="0034510F"/>
    <w:rsid w:val="00362459"/>
    <w:rsid w:val="00372985"/>
    <w:rsid w:val="003A07C4"/>
    <w:rsid w:val="003B5591"/>
    <w:rsid w:val="003C4618"/>
    <w:rsid w:val="003D758A"/>
    <w:rsid w:val="00405F1C"/>
    <w:rsid w:val="0041621C"/>
    <w:rsid w:val="0042496B"/>
    <w:rsid w:val="0046702E"/>
    <w:rsid w:val="00483E1A"/>
    <w:rsid w:val="004E3E3A"/>
    <w:rsid w:val="00505E19"/>
    <w:rsid w:val="00515E6B"/>
    <w:rsid w:val="00530C80"/>
    <w:rsid w:val="00540052"/>
    <w:rsid w:val="00547C2C"/>
    <w:rsid w:val="00553B80"/>
    <w:rsid w:val="00553F4E"/>
    <w:rsid w:val="00581CA1"/>
    <w:rsid w:val="0058305B"/>
    <w:rsid w:val="0059182A"/>
    <w:rsid w:val="005A36DD"/>
    <w:rsid w:val="005C3C85"/>
    <w:rsid w:val="005D4639"/>
    <w:rsid w:val="005D742F"/>
    <w:rsid w:val="005F5F88"/>
    <w:rsid w:val="00605630"/>
    <w:rsid w:val="006306A6"/>
    <w:rsid w:val="006518A9"/>
    <w:rsid w:val="00676162"/>
    <w:rsid w:val="006F4E10"/>
    <w:rsid w:val="0070260D"/>
    <w:rsid w:val="0070488A"/>
    <w:rsid w:val="007108D6"/>
    <w:rsid w:val="00723CBC"/>
    <w:rsid w:val="00725F77"/>
    <w:rsid w:val="007345D1"/>
    <w:rsid w:val="00763322"/>
    <w:rsid w:val="00772E0D"/>
    <w:rsid w:val="007A2A40"/>
    <w:rsid w:val="007D0DA8"/>
    <w:rsid w:val="00813663"/>
    <w:rsid w:val="0081514D"/>
    <w:rsid w:val="008353D3"/>
    <w:rsid w:val="00836B61"/>
    <w:rsid w:val="0084311B"/>
    <w:rsid w:val="008468E6"/>
    <w:rsid w:val="00865304"/>
    <w:rsid w:val="00872F92"/>
    <w:rsid w:val="00894873"/>
    <w:rsid w:val="00896640"/>
    <w:rsid w:val="008C6A30"/>
    <w:rsid w:val="009173FF"/>
    <w:rsid w:val="00922BB9"/>
    <w:rsid w:val="0094682D"/>
    <w:rsid w:val="0095244B"/>
    <w:rsid w:val="00952730"/>
    <w:rsid w:val="00954E34"/>
    <w:rsid w:val="009771CB"/>
    <w:rsid w:val="00983EDE"/>
    <w:rsid w:val="0099003C"/>
    <w:rsid w:val="00995E9A"/>
    <w:rsid w:val="009D3236"/>
    <w:rsid w:val="00A10666"/>
    <w:rsid w:val="00A10B87"/>
    <w:rsid w:val="00A2091F"/>
    <w:rsid w:val="00A37707"/>
    <w:rsid w:val="00A9398F"/>
    <w:rsid w:val="00A93991"/>
    <w:rsid w:val="00A95342"/>
    <w:rsid w:val="00A979EE"/>
    <w:rsid w:val="00AC47A2"/>
    <w:rsid w:val="00AC56AE"/>
    <w:rsid w:val="00AF3316"/>
    <w:rsid w:val="00B03F36"/>
    <w:rsid w:val="00B164F7"/>
    <w:rsid w:val="00B214FE"/>
    <w:rsid w:val="00B222B3"/>
    <w:rsid w:val="00B3404C"/>
    <w:rsid w:val="00B34BC8"/>
    <w:rsid w:val="00B54D1A"/>
    <w:rsid w:val="00B62565"/>
    <w:rsid w:val="00B66ACD"/>
    <w:rsid w:val="00BA4AAE"/>
    <w:rsid w:val="00BB558B"/>
    <w:rsid w:val="00BD6ECE"/>
    <w:rsid w:val="00BE3C63"/>
    <w:rsid w:val="00BF5587"/>
    <w:rsid w:val="00C35D64"/>
    <w:rsid w:val="00C46C3D"/>
    <w:rsid w:val="00C46CF7"/>
    <w:rsid w:val="00C57CBC"/>
    <w:rsid w:val="00C857BE"/>
    <w:rsid w:val="00C90638"/>
    <w:rsid w:val="00C97710"/>
    <w:rsid w:val="00CA7627"/>
    <w:rsid w:val="00CB05EA"/>
    <w:rsid w:val="00CB74E7"/>
    <w:rsid w:val="00CD09B4"/>
    <w:rsid w:val="00CE0DA6"/>
    <w:rsid w:val="00D103BF"/>
    <w:rsid w:val="00D335C9"/>
    <w:rsid w:val="00D45CFB"/>
    <w:rsid w:val="00D554EB"/>
    <w:rsid w:val="00D564CD"/>
    <w:rsid w:val="00D859A0"/>
    <w:rsid w:val="00D87DD4"/>
    <w:rsid w:val="00DA502C"/>
    <w:rsid w:val="00DA695C"/>
    <w:rsid w:val="00DC0B06"/>
    <w:rsid w:val="00DE078D"/>
    <w:rsid w:val="00DE5C58"/>
    <w:rsid w:val="00DE68A9"/>
    <w:rsid w:val="00DF4C63"/>
    <w:rsid w:val="00E12770"/>
    <w:rsid w:val="00E24391"/>
    <w:rsid w:val="00E507F9"/>
    <w:rsid w:val="00E65178"/>
    <w:rsid w:val="00E65E73"/>
    <w:rsid w:val="00E904CB"/>
    <w:rsid w:val="00EC181C"/>
    <w:rsid w:val="00EC66BD"/>
    <w:rsid w:val="00EF4095"/>
    <w:rsid w:val="00F049AF"/>
    <w:rsid w:val="00F26757"/>
    <w:rsid w:val="00F3541A"/>
    <w:rsid w:val="00F45A13"/>
    <w:rsid w:val="00F70EB0"/>
    <w:rsid w:val="00F842A0"/>
    <w:rsid w:val="00F90FD0"/>
    <w:rsid w:val="00FA38A6"/>
    <w:rsid w:val="00FA6B61"/>
    <w:rsid w:val="00FD5FE9"/>
    <w:rsid w:val="00FE7000"/>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53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7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7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7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7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7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7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7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7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7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7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7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7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7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7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7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7A2"/>
    <w:rPr>
      <w:rFonts w:eastAsiaTheme="majorEastAsia" w:cstheme="majorBidi"/>
      <w:color w:val="272727" w:themeColor="text1" w:themeTint="D8"/>
    </w:rPr>
  </w:style>
  <w:style w:type="paragraph" w:styleId="Title">
    <w:name w:val="Title"/>
    <w:basedOn w:val="Normal"/>
    <w:next w:val="Normal"/>
    <w:link w:val="TitleChar"/>
    <w:uiPriority w:val="10"/>
    <w:qFormat/>
    <w:rsid w:val="00AC4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7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7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7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7A2"/>
    <w:pPr>
      <w:spacing w:before="160"/>
      <w:jc w:val="center"/>
    </w:pPr>
    <w:rPr>
      <w:i/>
      <w:iCs/>
      <w:color w:val="404040" w:themeColor="text1" w:themeTint="BF"/>
    </w:rPr>
  </w:style>
  <w:style w:type="character" w:customStyle="1" w:styleId="QuoteChar">
    <w:name w:val="Quote Char"/>
    <w:basedOn w:val="DefaultParagraphFont"/>
    <w:link w:val="Quote"/>
    <w:uiPriority w:val="29"/>
    <w:rsid w:val="00AC47A2"/>
    <w:rPr>
      <w:i/>
      <w:iCs/>
      <w:color w:val="404040" w:themeColor="text1" w:themeTint="BF"/>
    </w:rPr>
  </w:style>
  <w:style w:type="paragraph" w:styleId="ListParagraph">
    <w:name w:val="List Paragraph"/>
    <w:basedOn w:val="Normal"/>
    <w:uiPriority w:val="34"/>
    <w:qFormat/>
    <w:rsid w:val="00AC47A2"/>
    <w:pPr>
      <w:ind w:left="720"/>
      <w:contextualSpacing/>
    </w:pPr>
  </w:style>
  <w:style w:type="character" w:styleId="IntenseEmphasis">
    <w:name w:val="Intense Emphasis"/>
    <w:basedOn w:val="DefaultParagraphFont"/>
    <w:uiPriority w:val="21"/>
    <w:qFormat/>
    <w:rsid w:val="00AC47A2"/>
    <w:rPr>
      <w:i/>
      <w:iCs/>
      <w:color w:val="0F4761" w:themeColor="accent1" w:themeShade="BF"/>
    </w:rPr>
  </w:style>
  <w:style w:type="paragraph" w:styleId="IntenseQuote">
    <w:name w:val="Intense Quote"/>
    <w:basedOn w:val="Normal"/>
    <w:next w:val="Normal"/>
    <w:link w:val="IntenseQuoteChar"/>
    <w:uiPriority w:val="30"/>
    <w:qFormat/>
    <w:rsid w:val="00AC4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7A2"/>
    <w:rPr>
      <w:i/>
      <w:iCs/>
      <w:color w:val="0F4761" w:themeColor="accent1" w:themeShade="BF"/>
    </w:rPr>
  </w:style>
  <w:style w:type="character" w:styleId="IntenseReference">
    <w:name w:val="Intense Reference"/>
    <w:basedOn w:val="DefaultParagraphFont"/>
    <w:uiPriority w:val="32"/>
    <w:qFormat/>
    <w:rsid w:val="00AC47A2"/>
    <w:rPr>
      <w:b/>
      <w:bCs/>
      <w:smallCaps/>
      <w:color w:val="0F4761" w:themeColor="accent1" w:themeShade="BF"/>
      <w:spacing w:val="5"/>
    </w:rPr>
  </w:style>
  <w:style w:type="character" w:styleId="CommentReference">
    <w:name w:val="annotation reference"/>
    <w:basedOn w:val="DefaultParagraphFont"/>
    <w:uiPriority w:val="99"/>
    <w:semiHidden/>
    <w:unhideWhenUsed/>
    <w:rsid w:val="00BA4AAE"/>
    <w:rPr>
      <w:sz w:val="16"/>
      <w:szCs w:val="16"/>
    </w:rPr>
  </w:style>
  <w:style w:type="paragraph" w:styleId="CommentText">
    <w:name w:val="annotation text"/>
    <w:basedOn w:val="Normal"/>
    <w:link w:val="CommentTextChar"/>
    <w:uiPriority w:val="99"/>
    <w:unhideWhenUsed/>
    <w:rsid w:val="00BA4AAE"/>
    <w:pPr>
      <w:spacing w:line="240" w:lineRule="auto"/>
    </w:pPr>
    <w:rPr>
      <w:sz w:val="20"/>
      <w:szCs w:val="20"/>
    </w:rPr>
  </w:style>
  <w:style w:type="character" w:customStyle="1" w:styleId="CommentTextChar">
    <w:name w:val="Comment Text Char"/>
    <w:basedOn w:val="DefaultParagraphFont"/>
    <w:link w:val="CommentText"/>
    <w:uiPriority w:val="99"/>
    <w:rsid w:val="00BA4AAE"/>
    <w:rPr>
      <w:sz w:val="20"/>
      <w:szCs w:val="20"/>
    </w:rPr>
  </w:style>
  <w:style w:type="paragraph" w:styleId="CommentSubject">
    <w:name w:val="annotation subject"/>
    <w:basedOn w:val="CommentText"/>
    <w:next w:val="CommentText"/>
    <w:link w:val="CommentSubjectChar"/>
    <w:uiPriority w:val="99"/>
    <w:semiHidden/>
    <w:unhideWhenUsed/>
    <w:rsid w:val="00BA4AAE"/>
    <w:rPr>
      <w:b/>
      <w:bCs/>
    </w:rPr>
  </w:style>
  <w:style w:type="character" w:customStyle="1" w:styleId="CommentSubjectChar">
    <w:name w:val="Comment Subject Char"/>
    <w:basedOn w:val="CommentTextChar"/>
    <w:link w:val="CommentSubject"/>
    <w:uiPriority w:val="99"/>
    <w:semiHidden/>
    <w:rsid w:val="00BA4AAE"/>
    <w:rPr>
      <w:b/>
      <w:bCs/>
      <w:sz w:val="20"/>
      <w:szCs w:val="20"/>
    </w:rPr>
  </w:style>
  <w:style w:type="paragraph" w:styleId="Header">
    <w:name w:val="header"/>
    <w:basedOn w:val="Normal"/>
    <w:link w:val="HeaderChar"/>
    <w:uiPriority w:val="99"/>
    <w:unhideWhenUsed/>
    <w:rsid w:val="00C35D64"/>
    <w:pPr>
      <w:tabs>
        <w:tab w:val="center" w:pos="4819"/>
        <w:tab w:val="right" w:pos="9638"/>
      </w:tabs>
      <w:spacing w:after="0" w:line="240" w:lineRule="auto"/>
    </w:pPr>
  </w:style>
  <w:style w:type="character" w:customStyle="1" w:styleId="HeaderChar">
    <w:name w:val="Header Char"/>
    <w:basedOn w:val="DefaultParagraphFont"/>
    <w:link w:val="Header"/>
    <w:uiPriority w:val="99"/>
    <w:rsid w:val="00C35D64"/>
  </w:style>
  <w:style w:type="paragraph" w:styleId="Footer">
    <w:name w:val="footer"/>
    <w:basedOn w:val="Normal"/>
    <w:link w:val="FooterChar"/>
    <w:uiPriority w:val="99"/>
    <w:unhideWhenUsed/>
    <w:rsid w:val="00C35D64"/>
    <w:pPr>
      <w:tabs>
        <w:tab w:val="center" w:pos="4819"/>
        <w:tab w:val="right" w:pos="9638"/>
      </w:tabs>
      <w:spacing w:after="0" w:line="240" w:lineRule="auto"/>
    </w:pPr>
  </w:style>
  <w:style w:type="character" w:customStyle="1" w:styleId="FooterChar">
    <w:name w:val="Footer Char"/>
    <w:basedOn w:val="DefaultParagraphFont"/>
    <w:link w:val="Footer"/>
    <w:uiPriority w:val="99"/>
    <w:rsid w:val="00C35D64"/>
  </w:style>
  <w:style w:type="paragraph" w:styleId="Revision">
    <w:name w:val="Revision"/>
    <w:hidden/>
    <w:uiPriority w:val="99"/>
    <w:semiHidden/>
    <w:rsid w:val="00193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4354</Words>
  <Characters>2482</Characters>
  <Application>Microsoft Office Word</Application>
  <DocSecurity>0</DocSecurity>
  <Lines>20</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2025-06-10T05:54:00Z</dcterms:created>
  <dcterms:modified xsi:type="dcterms:W3CDTF">2025-06-10T05:54:00Z</dcterms:modified>
</cp:coreProperties>
</file>