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9D17" w14:textId="77777777" w:rsidR="00411D72" w:rsidRPr="00136669" w:rsidRDefault="00411D72" w:rsidP="00411D72">
      <w:pPr>
        <w:spacing w:after="0" w:line="240" w:lineRule="auto"/>
        <w:jc w:val="both"/>
        <w:rPr>
          <w:rFonts w:ascii="Times New Roman" w:eastAsia="Aptos" w:hAnsi="Times New Roman" w:cs="Times New Roman"/>
          <w:kern w:val="0"/>
          <w:lang w:val="fi-FI"/>
          <w14:ligatures w14:val="none"/>
        </w:rPr>
      </w:pPr>
      <w:r w:rsidRPr="00B00E6B">
        <w:rPr>
          <w:rFonts w:ascii="Times New Roman" w:eastAsia="Aptos" w:hAnsi="Times New Roman" w:cs="Times New Roman"/>
          <w:kern w:val="0"/>
          <w14:ligatures w14:val="none"/>
        </w:rPr>
        <w:t>Pranešimas</w:t>
      </w:r>
      <w:r w:rsidRPr="00136669">
        <w:rPr>
          <w:rFonts w:ascii="Times New Roman" w:eastAsia="Aptos" w:hAnsi="Times New Roman" w:cs="Times New Roman"/>
          <w:kern w:val="0"/>
          <w:lang w:val="fi-FI"/>
          <w14:ligatures w14:val="none"/>
        </w:rPr>
        <w:t xml:space="preserve"> </w:t>
      </w:r>
      <w:r>
        <w:rPr>
          <w:rFonts w:ascii="Times New Roman" w:eastAsia="Aptos" w:hAnsi="Times New Roman" w:cs="Times New Roman"/>
          <w:kern w:val="0"/>
          <w14:ligatures w14:val="none"/>
        </w:rPr>
        <w:t>spaudai</w:t>
      </w:r>
    </w:p>
    <w:p w14:paraId="779D5EC8" w14:textId="3CBD8E9A" w:rsidR="00411D72" w:rsidRPr="00136669" w:rsidRDefault="00411D72" w:rsidP="00411D72">
      <w:pPr>
        <w:spacing w:after="0" w:line="240" w:lineRule="auto"/>
        <w:jc w:val="both"/>
        <w:rPr>
          <w:rFonts w:ascii="Times New Roman" w:eastAsia="Aptos" w:hAnsi="Times New Roman" w:cs="Times New Roman"/>
          <w:kern w:val="0"/>
          <w14:ligatures w14:val="none"/>
        </w:rPr>
      </w:pPr>
      <w:proofErr w:type="gramStart"/>
      <w:r w:rsidRPr="00136669">
        <w:rPr>
          <w:rFonts w:ascii="Times New Roman" w:eastAsia="Aptos" w:hAnsi="Times New Roman" w:cs="Times New Roman"/>
          <w:kern w:val="0"/>
          <w:lang w:val="fi-FI"/>
          <w14:ligatures w14:val="none"/>
        </w:rPr>
        <w:t>2025 m.</w:t>
      </w:r>
      <w:proofErr w:type="gramEnd"/>
      <w:r w:rsidRPr="00136669">
        <w:rPr>
          <w:rFonts w:ascii="Times New Roman" w:eastAsia="Aptos" w:hAnsi="Times New Roman" w:cs="Times New Roman"/>
          <w:kern w:val="0"/>
          <w:lang w:val="fi-FI"/>
          <w14:ligatures w14:val="none"/>
        </w:rPr>
        <w:t xml:space="preserve"> </w:t>
      </w:r>
      <w:r w:rsidR="00E13F41">
        <w:rPr>
          <w:rFonts w:ascii="Times New Roman" w:eastAsia="Aptos" w:hAnsi="Times New Roman" w:cs="Times New Roman"/>
          <w:kern w:val="0"/>
          <w14:ligatures w14:val="none"/>
        </w:rPr>
        <w:t>liepos</w:t>
      </w:r>
      <w:r w:rsidRPr="00136669">
        <w:rPr>
          <w:rFonts w:ascii="Times New Roman" w:eastAsia="Aptos" w:hAnsi="Times New Roman" w:cs="Times New Roman"/>
          <w:kern w:val="0"/>
          <w14:ligatures w14:val="none"/>
        </w:rPr>
        <w:t xml:space="preserve"> </w:t>
      </w:r>
      <w:r w:rsidR="00CE0D07">
        <w:rPr>
          <w:rFonts w:ascii="Times New Roman" w:eastAsia="Aptos" w:hAnsi="Times New Roman" w:cs="Times New Roman"/>
          <w:kern w:val="0"/>
          <w14:ligatures w14:val="none"/>
        </w:rPr>
        <w:t>8</w:t>
      </w:r>
      <w:r w:rsidRPr="00136669">
        <w:rPr>
          <w:rFonts w:ascii="Times New Roman" w:eastAsia="Aptos" w:hAnsi="Times New Roman" w:cs="Times New Roman"/>
          <w:kern w:val="0"/>
          <w14:ligatures w14:val="none"/>
        </w:rPr>
        <w:t xml:space="preserve"> d.</w:t>
      </w:r>
    </w:p>
    <w:p w14:paraId="1DC2297F" w14:textId="77777777" w:rsidR="00411D72" w:rsidRDefault="00411D72" w:rsidP="00411D72">
      <w:pPr>
        <w:jc w:val="both"/>
        <w:rPr>
          <w:rFonts w:ascii="Times New Roman" w:hAnsi="Times New Roman" w:cs="Times New Roman"/>
          <w:b/>
          <w:bCs/>
          <w:sz w:val="28"/>
          <w:szCs w:val="28"/>
        </w:rPr>
      </w:pPr>
    </w:p>
    <w:p w14:paraId="366AF3DE" w14:textId="6CE66BB1" w:rsidR="008846A8" w:rsidRPr="00411D72" w:rsidRDefault="00E13F41" w:rsidP="00411D72">
      <w:pPr>
        <w:jc w:val="both"/>
        <w:rPr>
          <w:rFonts w:ascii="Times New Roman" w:hAnsi="Times New Roman" w:cs="Times New Roman"/>
          <w:b/>
          <w:bCs/>
          <w:sz w:val="28"/>
          <w:szCs w:val="28"/>
        </w:rPr>
      </w:pPr>
      <w:r>
        <w:rPr>
          <w:rFonts w:ascii="Times New Roman" w:hAnsi="Times New Roman" w:cs="Times New Roman"/>
          <w:b/>
          <w:bCs/>
          <w:sz w:val="28"/>
          <w:szCs w:val="28"/>
        </w:rPr>
        <w:t xml:space="preserve">2025-ųjų pusiaukelė: per metus Lietuvos </w:t>
      </w:r>
      <w:r w:rsidR="00F44D89">
        <w:rPr>
          <w:rFonts w:ascii="Times New Roman" w:hAnsi="Times New Roman" w:cs="Times New Roman"/>
          <w:b/>
          <w:bCs/>
          <w:sz w:val="28"/>
          <w:szCs w:val="28"/>
        </w:rPr>
        <w:t xml:space="preserve">pensijų fondų klientų turtas </w:t>
      </w:r>
      <w:r w:rsidR="004A5ACF">
        <w:rPr>
          <w:rFonts w:ascii="Times New Roman" w:hAnsi="Times New Roman" w:cs="Times New Roman"/>
          <w:b/>
          <w:bCs/>
          <w:sz w:val="28"/>
          <w:szCs w:val="28"/>
        </w:rPr>
        <w:t>išaugo</w:t>
      </w:r>
      <w:r w:rsidR="00933F2A">
        <w:rPr>
          <w:rFonts w:ascii="Times New Roman" w:hAnsi="Times New Roman" w:cs="Times New Roman"/>
          <w:b/>
          <w:bCs/>
          <w:sz w:val="28"/>
          <w:szCs w:val="28"/>
        </w:rPr>
        <w:t xml:space="preserve"> daugiau nei milijardu eurų</w:t>
      </w:r>
      <w:r w:rsidR="004A5AC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691CADDB" w14:textId="4AA72FE8" w:rsidR="00A01B71" w:rsidRPr="00411D72" w:rsidRDefault="02AE8579" w:rsidP="00411D72">
      <w:pPr>
        <w:jc w:val="both"/>
        <w:rPr>
          <w:rFonts w:ascii="Times New Roman" w:hAnsi="Times New Roman" w:cs="Times New Roman"/>
          <w:b/>
          <w:bCs/>
        </w:rPr>
      </w:pPr>
      <w:r w:rsidRPr="02AE8579">
        <w:rPr>
          <w:rFonts w:ascii="Times New Roman" w:hAnsi="Times New Roman" w:cs="Times New Roman"/>
          <w:b/>
          <w:bCs/>
        </w:rPr>
        <w:t>Po pasaulio rinkų sukrėtimo 2025 m. pradžioje, reaguojant į kontraversiškus Jungtinių Valstijų ekonominius sprendimus, situacija antrąjį metų ketvirtį stabilizavosi. Lietuvos II pakopos pensinių fondų investicinė grąža, lyginant su pirmuoju šių metų ketvirčiu</w:t>
      </w:r>
      <w:r w:rsidRPr="00BC35F8">
        <w:rPr>
          <w:rFonts w:ascii="Times New Roman" w:hAnsi="Times New Roman" w:cs="Times New Roman"/>
          <w:b/>
          <w:bCs/>
        </w:rPr>
        <w:t>, buvo teigiama ir siekė +2,65</w:t>
      </w:r>
      <w:r w:rsidRPr="02AE8579">
        <w:rPr>
          <w:rFonts w:ascii="Times New Roman" w:hAnsi="Times New Roman" w:cs="Times New Roman"/>
          <w:b/>
          <w:bCs/>
        </w:rPr>
        <w:t xml:space="preserve"> proc. Per pastaruosius 12 mėnesių Lietuvos II pakopos pensijų fondų valdomas turtas išaugo 12,5 proc. – nuo 8,2 mlrd. eurų 2024 m. liepos pradžioje iki 9,2 mlrd. eurų šių metų birželio pabaigoje. </w:t>
      </w:r>
    </w:p>
    <w:p w14:paraId="5A3725B4" w14:textId="0A972DC3" w:rsidR="0046060C" w:rsidRDefault="02AE8579" w:rsidP="00F44D89">
      <w:pPr>
        <w:jc w:val="both"/>
        <w:rPr>
          <w:rFonts w:ascii="Times New Roman" w:hAnsi="Times New Roman" w:cs="Times New Roman"/>
        </w:rPr>
      </w:pPr>
      <w:r w:rsidRPr="02AE8579">
        <w:rPr>
          <w:rFonts w:ascii="Times New Roman" w:hAnsi="Times New Roman" w:cs="Times New Roman"/>
        </w:rPr>
        <w:t xml:space="preserve">„Pasaulio rinkose  investicijų svyravimus sukėlę JAV ekonominiai sprendimai ir iniciatyvos Lietuvos pensijų fondų veiklos rezultatus paveikė nežymiai. Didžiausi svyravimai vyko šių metų pradžioje, o antrąjį metų ketvirtį, lyginant su pirmuoju, II pakopos pensijų fonduose jau buvo fiksuojamas +2,65 proc. investicijų prieaugis“, – pasakoja Lietuvos investicinių ir pensijų fondų asociacijos (LIPFA) valdybos narys Vaidotas Rūkas. </w:t>
      </w:r>
    </w:p>
    <w:p w14:paraId="0AEC210C" w14:textId="5431C8DE" w:rsidR="0046060C" w:rsidRDefault="002D49B3" w:rsidP="00411D72">
      <w:pPr>
        <w:jc w:val="both"/>
        <w:rPr>
          <w:rFonts w:ascii="Times New Roman" w:hAnsi="Times New Roman" w:cs="Times New Roman"/>
        </w:rPr>
      </w:pPr>
      <w:r>
        <w:rPr>
          <w:rFonts w:ascii="Times New Roman" w:hAnsi="Times New Roman" w:cs="Times New Roman"/>
        </w:rPr>
        <w:t xml:space="preserve">Finansų ekspertas </w:t>
      </w:r>
      <w:r w:rsidR="00C00BEC">
        <w:rPr>
          <w:rFonts w:ascii="Times New Roman" w:hAnsi="Times New Roman" w:cs="Times New Roman"/>
        </w:rPr>
        <w:t xml:space="preserve">taip pat pabrėžia, kad </w:t>
      </w:r>
      <w:r>
        <w:rPr>
          <w:rFonts w:ascii="Times New Roman" w:hAnsi="Times New Roman" w:cs="Times New Roman"/>
        </w:rPr>
        <w:t xml:space="preserve">ilgalaikių pensijų fondų rezultatų </w:t>
      </w:r>
      <w:r w:rsidR="00C00BEC">
        <w:rPr>
          <w:rFonts w:ascii="Times New Roman" w:hAnsi="Times New Roman" w:cs="Times New Roman"/>
        </w:rPr>
        <w:t>šių metų pradžios įvykiai pernelyg nepaveikė</w:t>
      </w:r>
      <w:r w:rsidR="004C123A">
        <w:rPr>
          <w:rFonts w:ascii="Times New Roman" w:hAnsi="Times New Roman" w:cs="Times New Roman"/>
        </w:rPr>
        <w:t xml:space="preserve">. </w:t>
      </w:r>
    </w:p>
    <w:p w14:paraId="06643DED" w14:textId="63D9D3B6" w:rsidR="004C123A" w:rsidRPr="00C431A8" w:rsidRDefault="02AE8579" w:rsidP="00411D72">
      <w:pPr>
        <w:jc w:val="both"/>
        <w:rPr>
          <w:rFonts w:ascii="Times New Roman" w:hAnsi="Times New Roman" w:cs="Times New Roman"/>
        </w:rPr>
      </w:pPr>
      <w:r w:rsidRPr="02AE8579">
        <w:rPr>
          <w:rFonts w:ascii="Times New Roman" w:hAnsi="Times New Roman" w:cs="Times New Roman"/>
        </w:rPr>
        <w:t xml:space="preserve">„Skaičiuojant nuo gyvenimo ciklo fondų (GCF) veiklos pradžios, II pakopos pensijų fondų investicinis prieaugis ir toliau pamažu didėja ir birželio pabaigoje siekė +74,8 proc. Kadangi kaupimas pensijai yra maratonas, o ne sprintas, laikinas pelningumo sumažėjimas ar akcijų biržų „paraudonavimas“ fondų rezultatams ilguoju laikotarpiu neigiamo poveikio iš esmės neturi“, – sako V. Rūkas. Rinkų svyravimai yra natūrali ilgalaikio kaupimo ir investavimo proceso dalis, o investicijų kainoms sumažėjus investicijos už naujas įmokas įsigyjamos pigiau, ir tai leidžia uždirbti didesnę grąžą ateityje. </w:t>
      </w:r>
    </w:p>
    <w:p w14:paraId="65789123" w14:textId="6FF583BE" w:rsidR="00D864A2" w:rsidRPr="00C431A8" w:rsidRDefault="005D42C5" w:rsidP="00411D72">
      <w:pPr>
        <w:jc w:val="both"/>
        <w:rPr>
          <w:rFonts w:ascii="Times New Roman" w:hAnsi="Times New Roman" w:cs="Times New Roman"/>
          <w:b/>
          <w:bCs/>
        </w:rPr>
      </w:pPr>
      <w:r w:rsidRPr="00C431A8">
        <w:rPr>
          <w:rFonts w:ascii="Times New Roman" w:hAnsi="Times New Roman" w:cs="Times New Roman"/>
          <w:b/>
          <w:bCs/>
        </w:rPr>
        <w:t>Pensijų f</w:t>
      </w:r>
      <w:r w:rsidR="00D864A2" w:rsidRPr="00C431A8">
        <w:rPr>
          <w:rFonts w:ascii="Times New Roman" w:hAnsi="Times New Roman" w:cs="Times New Roman"/>
          <w:b/>
          <w:bCs/>
        </w:rPr>
        <w:t>onduose – jau 9,</w:t>
      </w:r>
      <w:r w:rsidR="000B61A0" w:rsidRPr="00C431A8">
        <w:rPr>
          <w:rFonts w:ascii="Times New Roman" w:hAnsi="Times New Roman" w:cs="Times New Roman"/>
          <w:b/>
          <w:bCs/>
        </w:rPr>
        <w:t>2</w:t>
      </w:r>
      <w:r w:rsidR="00D864A2" w:rsidRPr="00C431A8">
        <w:rPr>
          <w:rFonts w:ascii="Times New Roman" w:hAnsi="Times New Roman" w:cs="Times New Roman"/>
          <w:b/>
          <w:bCs/>
        </w:rPr>
        <w:t xml:space="preserve"> mlrd. eurų </w:t>
      </w:r>
    </w:p>
    <w:p w14:paraId="5CEE57F0" w14:textId="64C34B9C" w:rsidR="002C0B9D" w:rsidRPr="00C431A8" w:rsidRDefault="02AE8579" w:rsidP="0011493D">
      <w:pPr>
        <w:jc w:val="both"/>
        <w:rPr>
          <w:rFonts w:ascii="Times New Roman" w:hAnsi="Times New Roman" w:cs="Times New Roman"/>
        </w:rPr>
      </w:pPr>
      <w:r w:rsidRPr="02AE8579">
        <w:rPr>
          <w:rFonts w:ascii="Times New Roman" w:hAnsi="Times New Roman" w:cs="Times New Roman"/>
        </w:rPr>
        <w:t xml:space="preserve">Per pastaruosius 12 mėnesių bendras Lietuvos pensijų fonduose valdomo turto vertė išaugo 12,5 proc. ir paskutinę birželio dieną siekė 9,2 mlrd. eurų. Bendra reguliaraus ilgalaikio pensijų kaupimo Lietuvos gyventojams sukurta nauda (nuo 2004 m. agreguotas pelnas, arba investicijų grąža plius išmokos) birželio pabaigoje pasiekė 3,14 mlrd. eurų. Per tą patį laikotarpį sukaupto turto ir išmokėtų iš pensijų fondų lėšų suma jau artėja prie 10 mlrd. ir paskutinę birželio dieną buvo beveik 9,88 mlrd. eurų. </w:t>
      </w:r>
    </w:p>
    <w:p w14:paraId="6C4ADD37" w14:textId="5B5A8837" w:rsidR="001B4620" w:rsidRDefault="00FC525D" w:rsidP="00F435BA">
      <w:pPr>
        <w:jc w:val="both"/>
        <w:rPr>
          <w:rFonts w:ascii="Times New Roman" w:hAnsi="Times New Roman" w:cs="Times New Roman"/>
        </w:rPr>
      </w:pPr>
      <w:r w:rsidRPr="00C431A8">
        <w:rPr>
          <w:rFonts w:ascii="Times New Roman" w:hAnsi="Times New Roman" w:cs="Times New Roman"/>
        </w:rPr>
        <w:t xml:space="preserve">Bendrai </w:t>
      </w:r>
      <w:r w:rsidR="00D626A5" w:rsidRPr="00C431A8">
        <w:rPr>
          <w:rFonts w:ascii="Times New Roman" w:hAnsi="Times New Roman" w:cs="Times New Roman"/>
        </w:rPr>
        <w:t xml:space="preserve">pirmąjį šių metų </w:t>
      </w:r>
      <w:r w:rsidR="0080413E" w:rsidRPr="00C431A8">
        <w:rPr>
          <w:rFonts w:ascii="Times New Roman" w:hAnsi="Times New Roman" w:cs="Times New Roman"/>
        </w:rPr>
        <w:t xml:space="preserve">pusmetį </w:t>
      </w:r>
      <w:r w:rsidR="00831BE6" w:rsidRPr="00C431A8">
        <w:rPr>
          <w:rFonts w:ascii="Times New Roman" w:hAnsi="Times New Roman" w:cs="Times New Roman"/>
        </w:rPr>
        <w:t xml:space="preserve">į pensijų fondus buvo pervesta </w:t>
      </w:r>
      <w:r w:rsidR="00D530BD" w:rsidRPr="00C431A8">
        <w:rPr>
          <w:rFonts w:ascii="Times New Roman" w:hAnsi="Times New Roman" w:cs="Times New Roman"/>
        </w:rPr>
        <w:t>4</w:t>
      </w:r>
      <w:r w:rsidR="00117171" w:rsidRPr="00C431A8">
        <w:rPr>
          <w:rFonts w:ascii="Times New Roman" w:hAnsi="Times New Roman" w:cs="Times New Roman"/>
        </w:rPr>
        <w:t>5</w:t>
      </w:r>
      <w:r w:rsidR="00D530BD" w:rsidRPr="00C431A8">
        <w:rPr>
          <w:rFonts w:ascii="Times New Roman" w:hAnsi="Times New Roman" w:cs="Times New Roman"/>
        </w:rPr>
        <w:t xml:space="preserve">5 </w:t>
      </w:r>
      <w:r w:rsidR="007F4488" w:rsidRPr="00C431A8">
        <w:rPr>
          <w:rFonts w:ascii="Times New Roman" w:hAnsi="Times New Roman" w:cs="Times New Roman"/>
        </w:rPr>
        <w:t xml:space="preserve">mln. </w:t>
      </w:r>
      <w:r w:rsidR="00831BE6" w:rsidRPr="00C431A8">
        <w:rPr>
          <w:rFonts w:ascii="Times New Roman" w:hAnsi="Times New Roman" w:cs="Times New Roman"/>
        </w:rPr>
        <w:t>eurų įmokų</w:t>
      </w:r>
      <w:r w:rsidR="005B1D5D" w:rsidRPr="00C431A8">
        <w:rPr>
          <w:rFonts w:ascii="Times New Roman" w:hAnsi="Times New Roman" w:cs="Times New Roman"/>
        </w:rPr>
        <w:t>,</w:t>
      </w:r>
      <w:r w:rsidR="00831BE6" w:rsidRPr="00C431A8">
        <w:rPr>
          <w:rFonts w:ascii="Times New Roman" w:hAnsi="Times New Roman" w:cs="Times New Roman"/>
        </w:rPr>
        <w:t xml:space="preserve"> o </w:t>
      </w:r>
      <w:r w:rsidR="00D626A5" w:rsidRPr="00C431A8">
        <w:rPr>
          <w:rFonts w:ascii="Times New Roman" w:hAnsi="Times New Roman" w:cs="Times New Roman"/>
        </w:rPr>
        <w:t xml:space="preserve">išmokos pensijų sistemos dalyviams ir paveldėjimai sudarė </w:t>
      </w:r>
      <w:r w:rsidR="003B39A2" w:rsidRPr="00C431A8">
        <w:rPr>
          <w:rFonts w:ascii="Times New Roman" w:hAnsi="Times New Roman" w:cs="Times New Roman"/>
        </w:rPr>
        <w:t>49,9</w:t>
      </w:r>
      <w:r w:rsidR="002D4302" w:rsidRPr="00C431A8">
        <w:rPr>
          <w:rFonts w:ascii="Times New Roman" w:hAnsi="Times New Roman" w:cs="Times New Roman"/>
        </w:rPr>
        <w:t xml:space="preserve"> mln. eurų</w:t>
      </w:r>
      <w:r w:rsidR="001B4620" w:rsidRPr="00C431A8">
        <w:rPr>
          <w:rFonts w:ascii="Times New Roman" w:hAnsi="Times New Roman" w:cs="Times New Roman"/>
        </w:rPr>
        <w:t>.</w:t>
      </w:r>
      <w:r w:rsidR="002D4302" w:rsidRPr="00C431A8">
        <w:rPr>
          <w:rFonts w:ascii="Times New Roman" w:hAnsi="Times New Roman" w:cs="Times New Roman"/>
        </w:rPr>
        <w:t xml:space="preserve"> </w:t>
      </w:r>
      <w:r w:rsidR="00F435BA">
        <w:rPr>
          <w:rFonts w:ascii="Times New Roman" w:hAnsi="Times New Roman" w:cs="Times New Roman"/>
        </w:rPr>
        <w:t xml:space="preserve">Skaičiuojant nuo </w:t>
      </w:r>
      <w:r w:rsidR="00F435BA" w:rsidRPr="00C431A8">
        <w:rPr>
          <w:rFonts w:ascii="Times New Roman" w:hAnsi="Times New Roman" w:cs="Times New Roman"/>
        </w:rPr>
        <w:t>2004</w:t>
      </w:r>
      <w:r w:rsidR="00F435BA">
        <w:rPr>
          <w:rFonts w:ascii="Times New Roman" w:hAnsi="Times New Roman" w:cs="Times New Roman"/>
        </w:rPr>
        <w:t>-ųjų, b</w:t>
      </w:r>
      <w:r w:rsidR="00271786" w:rsidRPr="00C431A8">
        <w:rPr>
          <w:rFonts w:ascii="Times New Roman" w:hAnsi="Times New Roman" w:cs="Times New Roman"/>
        </w:rPr>
        <w:t xml:space="preserve">endra </w:t>
      </w:r>
      <w:r w:rsidR="00713247">
        <w:rPr>
          <w:rFonts w:ascii="Times New Roman" w:hAnsi="Times New Roman" w:cs="Times New Roman"/>
        </w:rPr>
        <w:t xml:space="preserve">pensijų fondų </w:t>
      </w:r>
      <w:r w:rsidR="002036C8">
        <w:rPr>
          <w:rFonts w:ascii="Times New Roman" w:hAnsi="Times New Roman" w:cs="Times New Roman"/>
        </w:rPr>
        <w:t xml:space="preserve">klientams </w:t>
      </w:r>
      <w:r w:rsidR="00DD30F3" w:rsidRPr="00C431A8">
        <w:rPr>
          <w:rFonts w:ascii="Times New Roman" w:hAnsi="Times New Roman" w:cs="Times New Roman"/>
        </w:rPr>
        <w:t xml:space="preserve">atliktų išmokų ir paveldėjimų suma </w:t>
      </w:r>
      <w:r w:rsidR="00F435BA">
        <w:rPr>
          <w:rFonts w:ascii="Times New Roman" w:hAnsi="Times New Roman" w:cs="Times New Roman"/>
        </w:rPr>
        <w:t xml:space="preserve">jau </w:t>
      </w:r>
      <w:r w:rsidR="00C9098A" w:rsidRPr="00C431A8">
        <w:rPr>
          <w:rFonts w:ascii="Times New Roman" w:hAnsi="Times New Roman" w:cs="Times New Roman"/>
        </w:rPr>
        <w:t xml:space="preserve">perkopė 650 mln. </w:t>
      </w:r>
      <w:r w:rsidR="00F435BA">
        <w:rPr>
          <w:rFonts w:ascii="Times New Roman" w:hAnsi="Times New Roman" w:cs="Times New Roman"/>
        </w:rPr>
        <w:t xml:space="preserve">ir birželio </w:t>
      </w:r>
      <w:r w:rsidR="003F048F">
        <w:rPr>
          <w:rFonts w:ascii="Times New Roman" w:hAnsi="Times New Roman" w:cs="Times New Roman"/>
        </w:rPr>
        <w:t xml:space="preserve">30 d. </w:t>
      </w:r>
      <w:r w:rsidR="00F435BA">
        <w:rPr>
          <w:rFonts w:ascii="Times New Roman" w:hAnsi="Times New Roman" w:cs="Times New Roman"/>
        </w:rPr>
        <w:t xml:space="preserve">sudarė </w:t>
      </w:r>
      <w:r w:rsidR="00C9098A" w:rsidRPr="00C431A8">
        <w:rPr>
          <w:rFonts w:ascii="Times New Roman" w:hAnsi="Times New Roman" w:cs="Times New Roman"/>
        </w:rPr>
        <w:t>652,8 mln. eurų</w:t>
      </w:r>
      <w:r w:rsidR="00F435BA">
        <w:rPr>
          <w:rFonts w:ascii="Times New Roman" w:hAnsi="Times New Roman" w:cs="Times New Roman"/>
        </w:rPr>
        <w:t xml:space="preserve">. </w:t>
      </w:r>
    </w:p>
    <w:p w14:paraId="057C4A0C" w14:textId="38FDEC51" w:rsidR="000E05F7" w:rsidRPr="00411D72" w:rsidRDefault="00834FE0" w:rsidP="00411D72">
      <w:pPr>
        <w:jc w:val="both"/>
        <w:rPr>
          <w:rFonts w:ascii="Times New Roman" w:hAnsi="Times New Roman" w:cs="Times New Roman"/>
          <w:b/>
          <w:bCs/>
        </w:rPr>
      </w:pPr>
      <w:r>
        <w:rPr>
          <w:rFonts w:ascii="Times New Roman" w:hAnsi="Times New Roman" w:cs="Times New Roman"/>
          <w:b/>
          <w:bCs/>
        </w:rPr>
        <w:t>Stabili k</w:t>
      </w:r>
      <w:r w:rsidR="00D116C6">
        <w:rPr>
          <w:rFonts w:ascii="Times New Roman" w:hAnsi="Times New Roman" w:cs="Times New Roman"/>
          <w:b/>
          <w:bCs/>
        </w:rPr>
        <w:t>onservatyv</w:t>
      </w:r>
      <w:r>
        <w:rPr>
          <w:rFonts w:ascii="Times New Roman" w:hAnsi="Times New Roman" w:cs="Times New Roman"/>
          <w:b/>
          <w:bCs/>
        </w:rPr>
        <w:t>ių</w:t>
      </w:r>
      <w:r w:rsidR="00D116C6">
        <w:rPr>
          <w:rFonts w:ascii="Times New Roman" w:hAnsi="Times New Roman" w:cs="Times New Roman"/>
          <w:b/>
          <w:bCs/>
        </w:rPr>
        <w:t xml:space="preserve"> fond</w:t>
      </w:r>
      <w:r>
        <w:rPr>
          <w:rFonts w:ascii="Times New Roman" w:hAnsi="Times New Roman" w:cs="Times New Roman"/>
          <w:b/>
          <w:bCs/>
        </w:rPr>
        <w:t>ų grąža</w:t>
      </w:r>
      <w:r w:rsidR="00D116C6">
        <w:rPr>
          <w:rFonts w:ascii="Times New Roman" w:hAnsi="Times New Roman" w:cs="Times New Roman"/>
          <w:b/>
          <w:bCs/>
        </w:rPr>
        <w:t xml:space="preserve"> </w:t>
      </w:r>
    </w:p>
    <w:p w14:paraId="118E62B5" w14:textId="747D5DAD" w:rsidR="00325E91" w:rsidRDefault="00887CCF" w:rsidP="00AE7E84">
      <w:pPr>
        <w:jc w:val="both"/>
        <w:rPr>
          <w:rFonts w:ascii="Times New Roman" w:hAnsi="Times New Roman" w:cs="Times New Roman"/>
        </w:rPr>
      </w:pPr>
      <w:r>
        <w:rPr>
          <w:rFonts w:ascii="Times New Roman" w:hAnsi="Times New Roman" w:cs="Times New Roman"/>
        </w:rPr>
        <w:t xml:space="preserve">Antrąjį šių metų ketvirtį </w:t>
      </w:r>
      <w:r w:rsidR="008505DB">
        <w:rPr>
          <w:rFonts w:ascii="Times New Roman" w:hAnsi="Times New Roman" w:cs="Times New Roman"/>
        </w:rPr>
        <w:t xml:space="preserve">tarp </w:t>
      </w:r>
      <w:r w:rsidR="00C03469">
        <w:rPr>
          <w:rFonts w:ascii="Times New Roman" w:hAnsi="Times New Roman" w:cs="Times New Roman"/>
        </w:rPr>
        <w:t xml:space="preserve">visų </w:t>
      </w:r>
      <w:r w:rsidR="008505DB">
        <w:rPr>
          <w:rFonts w:ascii="Times New Roman" w:hAnsi="Times New Roman" w:cs="Times New Roman"/>
        </w:rPr>
        <w:t xml:space="preserve">II pakopos pensijų fondų pelningiausi buvo </w:t>
      </w:r>
      <w:r w:rsidR="002E3F88">
        <w:rPr>
          <w:rFonts w:ascii="Times New Roman" w:hAnsi="Times New Roman" w:cs="Times New Roman"/>
        </w:rPr>
        <w:t>naujai šiemet įkurti jauniausios amžiaus grupės GCF („Pensija 2003-2009“), kurių svertinis grąžos vidurkis lyginant su pirmuoju metų ketvirčiu, išaugo 3,2</w:t>
      </w:r>
      <w:r w:rsidR="002E3F88" w:rsidRPr="00B64B64">
        <w:rPr>
          <w:rFonts w:ascii="Times New Roman" w:hAnsi="Times New Roman" w:cs="Times New Roman"/>
        </w:rPr>
        <w:t xml:space="preserve"> proc. </w:t>
      </w:r>
      <w:r w:rsidR="002E3F88">
        <w:rPr>
          <w:rFonts w:ascii="Times New Roman" w:hAnsi="Times New Roman" w:cs="Times New Roman"/>
        </w:rPr>
        <w:t xml:space="preserve">Nedaug atsiliko ir </w:t>
      </w:r>
      <w:r w:rsidR="00B57BD8">
        <w:rPr>
          <w:rFonts w:ascii="Times New Roman" w:hAnsi="Times New Roman" w:cs="Times New Roman"/>
        </w:rPr>
        <w:t xml:space="preserve">44-50 m. amžiaus </w:t>
      </w:r>
      <w:r w:rsidR="00FB6C19">
        <w:rPr>
          <w:rFonts w:ascii="Times New Roman" w:hAnsi="Times New Roman" w:cs="Times New Roman"/>
        </w:rPr>
        <w:t xml:space="preserve">grupės </w:t>
      </w:r>
      <w:r w:rsidR="00C03469">
        <w:rPr>
          <w:rFonts w:ascii="Times New Roman" w:hAnsi="Times New Roman" w:cs="Times New Roman"/>
        </w:rPr>
        <w:t>GCF („</w:t>
      </w:r>
      <w:r w:rsidR="00715F17" w:rsidRPr="00715F17">
        <w:rPr>
          <w:rFonts w:ascii="Times New Roman" w:hAnsi="Times New Roman" w:cs="Times New Roman"/>
        </w:rPr>
        <w:t>Pensija 1975-1981</w:t>
      </w:r>
      <w:r w:rsidR="00C03469">
        <w:rPr>
          <w:rFonts w:ascii="Times New Roman" w:hAnsi="Times New Roman" w:cs="Times New Roman"/>
        </w:rPr>
        <w:t>“)</w:t>
      </w:r>
      <w:r w:rsidR="00FD41F1">
        <w:rPr>
          <w:rFonts w:ascii="Times New Roman" w:hAnsi="Times New Roman" w:cs="Times New Roman"/>
        </w:rPr>
        <w:t xml:space="preserve"> </w:t>
      </w:r>
      <w:r w:rsidR="002E3F88">
        <w:rPr>
          <w:rFonts w:ascii="Times New Roman" w:hAnsi="Times New Roman" w:cs="Times New Roman"/>
        </w:rPr>
        <w:t xml:space="preserve">uždirbę </w:t>
      </w:r>
      <w:r w:rsidR="00FD41F1">
        <w:rPr>
          <w:rFonts w:ascii="Times New Roman" w:hAnsi="Times New Roman" w:cs="Times New Roman"/>
        </w:rPr>
        <w:t xml:space="preserve">2,91 proc. </w:t>
      </w:r>
      <w:r w:rsidR="00602927">
        <w:rPr>
          <w:rFonts w:ascii="Times New Roman" w:hAnsi="Times New Roman" w:cs="Times New Roman"/>
        </w:rPr>
        <w:t xml:space="preserve">23-29 m. amžiaus grupės GCF („Pensija </w:t>
      </w:r>
      <w:r w:rsidR="006A04CD">
        <w:rPr>
          <w:rFonts w:ascii="Times New Roman" w:hAnsi="Times New Roman" w:cs="Times New Roman"/>
        </w:rPr>
        <w:t xml:space="preserve">1996-2002“, </w:t>
      </w:r>
      <w:r w:rsidR="003725E7">
        <w:rPr>
          <w:rFonts w:ascii="Times New Roman" w:hAnsi="Times New Roman" w:cs="Times New Roman"/>
        </w:rPr>
        <w:t xml:space="preserve">augo </w:t>
      </w:r>
      <w:r w:rsidR="007039F8">
        <w:rPr>
          <w:rFonts w:ascii="Times New Roman" w:hAnsi="Times New Roman" w:cs="Times New Roman"/>
        </w:rPr>
        <w:t>2,9 proc.)</w:t>
      </w:r>
      <w:r w:rsidR="00F71795">
        <w:rPr>
          <w:rFonts w:ascii="Times New Roman" w:hAnsi="Times New Roman" w:cs="Times New Roman"/>
        </w:rPr>
        <w:t xml:space="preserve">, </w:t>
      </w:r>
      <w:r w:rsidR="00B97EDB">
        <w:rPr>
          <w:rFonts w:ascii="Times New Roman" w:hAnsi="Times New Roman" w:cs="Times New Roman"/>
        </w:rPr>
        <w:t>37-43 m. amžiaus grupės GCF (</w:t>
      </w:r>
      <w:r w:rsidR="003115E0">
        <w:rPr>
          <w:rFonts w:ascii="Times New Roman" w:hAnsi="Times New Roman" w:cs="Times New Roman"/>
        </w:rPr>
        <w:t>„</w:t>
      </w:r>
      <w:r w:rsidR="003115E0" w:rsidRPr="003115E0">
        <w:rPr>
          <w:rFonts w:ascii="Times New Roman" w:hAnsi="Times New Roman" w:cs="Times New Roman"/>
        </w:rPr>
        <w:t>Pensija 1982-1988</w:t>
      </w:r>
      <w:r w:rsidR="003115E0">
        <w:rPr>
          <w:rFonts w:ascii="Times New Roman" w:hAnsi="Times New Roman" w:cs="Times New Roman"/>
        </w:rPr>
        <w:t xml:space="preserve">“, 2,89 proc.) bei </w:t>
      </w:r>
      <w:r w:rsidR="00C36E12">
        <w:rPr>
          <w:rFonts w:ascii="Times New Roman" w:hAnsi="Times New Roman" w:cs="Times New Roman"/>
        </w:rPr>
        <w:t>30-36 m. amžiaus grupės GCF („</w:t>
      </w:r>
      <w:r w:rsidR="00D81AC2" w:rsidRPr="00D81AC2">
        <w:rPr>
          <w:rFonts w:ascii="Times New Roman" w:hAnsi="Times New Roman" w:cs="Times New Roman"/>
        </w:rPr>
        <w:t>Pensija 1989-1995</w:t>
      </w:r>
      <w:r w:rsidR="00D81AC2">
        <w:rPr>
          <w:rFonts w:ascii="Times New Roman" w:hAnsi="Times New Roman" w:cs="Times New Roman"/>
        </w:rPr>
        <w:t xml:space="preserve">“, 2,82 proc.). </w:t>
      </w:r>
      <w:r w:rsidR="002E3F88">
        <w:rPr>
          <w:rFonts w:ascii="Times New Roman" w:hAnsi="Times New Roman" w:cs="Times New Roman"/>
        </w:rPr>
        <w:t>M</w:t>
      </w:r>
      <w:r w:rsidR="00325E91">
        <w:rPr>
          <w:rFonts w:ascii="Times New Roman" w:hAnsi="Times New Roman" w:cs="Times New Roman"/>
        </w:rPr>
        <w:t>ažiausi</w:t>
      </w:r>
      <w:r w:rsidR="002E3F88">
        <w:rPr>
          <w:rFonts w:ascii="Times New Roman" w:hAnsi="Times New Roman" w:cs="Times New Roman"/>
        </w:rPr>
        <w:t>os</w:t>
      </w:r>
      <w:r w:rsidR="00325E91">
        <w:rPr>
          <w:rFonts w:ascii="Times New Roman" w:hAnsi="Times New Roman" w:cs="Times New Roman"/>
        </w:rPr>
        <w:t xml:space="preserve"> rizik</w:t>
      </w:r>
      <w:r w:rsidR="002E3F88">
        <w:rPr>
          <w:rFonts w:ascii="Times New Roman" w:hAnsi="Times New Roman" w:cs="Times New Roman"/>
        </w:rPr>
        <w:t>os</w:t>
      </w:r>
      <w:r w:rsidR="00325E91">
        <w:rPr>
          <w:rFonts w:ascii="Times New Roman" w:hAnsi="Times New Roman" w:cs="Times New Roman"/>
        </w:rPr>
        <w:t xml:space="preserve"> vyriausių pensijos sistemos dalyvių GCF</w:t>
      </w:r>
      <w:r w:rsidR="00D159A3">
        <w:rPr>
          <w:rFonts w:ascii="Times New Roman" w:hAnsi="Times New Roman" w:cs="Times New Roman"/>
        </w:rPr>
        <w:t xml:space="preserve"> („Turto išsaugojimo fondas“)</w:t>
      </w:r>
      <w:r w:rsidR="000E73D6">
        <w:rPr>
          <w:rFonts w:ascii="Times New Roman" w:hAnsi="Times New Roman" w:cs="Times New Roman"/>
        </w:rPr>
        <w:t xml:space="preserve"> per ketvirtį išaug</w:t>
      </w:r>
      <w:r w:rsidR="002E3F88">
        <w:rPr>
          <w:rFonts w:ascii="Times New Roman" w:hAnsi="Times New Roman" w:cs="Times New Roman"/>
        </w:rPr>
        <w:t>o</w:t>
      </w:r>
      <w:r w:rsidR="000E73D6">
        <w:rPr>
          <w:rFonts w:ascii="Times New Roman" w:hAnsi="Times New Roman" w:cs="Times New Roman"/>
        </w:rPr>
        <w:t xml:space="preserve"> 2,02 proc. </w:t>
      </w:r>
      <w:r w:rsidR="00676D78">
        <w:rPr>
          <w:rFonts w:ascii="Times New Roman" w:hAnsi="Times New Roman" w:cs="Times New Roman"/>
        </w:rPr>
        <w:t>Būtent k</w:t>
      </w:r>
      <w:r w:rsidR="000466F8">
        <w:rPr>
          <w:rFonts w:ascii="Times New Roman" w:hAnsi="Times New Roman" w:cs="Times New Roman"/>
        </w:rPr>
        <w:t>onservatyv</w:t>
      </w:r>
      <w:r w:rsidR="00AE7E84">
        <w:rPr>
          <w:rFonts w:ascii="Times New Roman" w:hAnsi="Times New Roman" w:cs="Times New Roman"/>
        </w:rPr>
        <w:t>ieji</w:t>
      </w:r>
      <w:r w:rsidR="000466F8">
        <w:rPr>
          <w:rFonts w:ascii="Times New Roman" w:hAnsi="Times New Roman" w:cs="Times New Roman"/>
        </w:rPr>
        <w:t xml:space="preserve"> pensijų fondai</w:t>
      </w:r>
      <w:r w:rsidR="009C3D27">
        <w:rPr>
          <w:rFonts w:ascii="Times New Roman" w:hAnsi="Times New Roman" w:cs="Times New Roman"/>
        </w:rPr>
        <w:t xml:space="preserve"> </w:t>
      </w:r>
      <w:r w:rsidR="00676D78">
        <w:rPr>
          <w:rFonts w:ascii="Times New Roman" w:hAnsi="Times New Roman" w:cs="Times New Roman"/>
        </w:rPr>
        <w:t xml:space="preserve">buvo labiausiai atsparūs </w:t>
      </w:r>
      <w:r w:rsidR="009C3D27">
        <w:rPr>
          <w:rFonts w:ascii="Times New Roman" w:hAnsi="Times New Roman" w:cs="Times New Roman"/>
        </w:rPr>
        <w:t>pirmąjį ketvirtį stebėt</w:t>
      </w:r>
      <w:r w:rsidR="00676D78">
        <w:rPr>
          <w:rFonts w:ascii="Times New Roman" w:hAnsi="Times New Roman" w:cs="Times New Roman"/>
        </w:rPr>
        <w:t>iems</w:t>
      </w:r>
      <w:r w:rsidR="009C3D27">
        <w:rPr>
          <w:rFonts w:ascii="Times New Roman" w:hAnsi="Times New Roman" w:cs="Times New Roman"/>
        </w:rPr>
        <w:t xml:space="preserve"> </w:t>
      </w:r>
      <w:r w:rsidR="00834FE0">
        <w:rPr>
          <w:rFonts w:ascii="Times New Roman" w:hAnsi="Times New Roman" w:cs="Times New Roman"/>
        </w:rPr>
        <w:t xml:space="preserve">akcijų </w:t>
      </w:r>
      <w:r w:rsidR="009C3D27">
        <w:rPr>
          <w:rFonts w:ascii="Times New Roman" w:hAnsi="Times New Roman" w:cs="Times New Roman"/>
        </w:rPr>
        <w:t>rinkų sukrėtim</w:t>
      </w:r>
      <w:r w:rsidR="00676D78">
        <w:rPr>
          <w:rFonts w:ascii="Times New Roman" w:hAnsi="Times New Roman" w:cs="Times New Roman"/>
        </w:rPr>
        <w:t>ams</w:t>
      </w:r>
      <w:r w:rsidR="009C3D27">
        <w:rPr>
          <w:rFonts w:ascii="Times New Roman" w:hAnsi="Times New Roman" w:cs="Times New Roman"/>
        </w:rPr>
        <w:t xml:space="preserve">. </w:t>
      </w:r>
    </w:p>
    <w:p w14:paraId="646DFB28" w14:textId="0A634417" w:rsidR="00100550" w:rsidRDefault="00BF1E2B" w:rsidP="00A05D47">
      <w:pPr>
        <w:jc w:val="both"/>
        <w:rPr>
          <w:rFonts w:ascii="Times New Roman" w:hAnsi="Times New Roman" w:cs="Times New Roman"/>
        </w:rPr>
      </w:pPr>
      <w:r>
        <w:rPr>
          <w:rFonts w:ascii="Times New Roman" w:hAnsi="Times New Roman" w:cs="Times New Roman"/>
        </w:rPr>
        <w:lastRenderedPageBreak/>
        <w:t xml:space="preserve">„Tai tiesiog iliustruoja bendrą II pakopos veikimo principą, </w:t>
      </w:r>
      <w:r w:rsidR="00407C48">
        <w:rPr>
          <w:rFonts w:ascii="Times New Roman" w:hAnsi="Times New Roman" w:cs="Times New Roman"/>
        </w:rPr>
        <w:t xml:space="preserve">kad, </w:t>
      </w:r>
      <w:r w:rsidR="003263E7">
        <w:rPr>
          <w:rFonts w:ascii="Times New Roman" w:hAnsi="Times New Roman" w:cs="Times New Roman"/>
        </w:rPr>
        <w:t xml:space="preserve">vis labiau </w:t>
      </w:r>
      <w:r w:rsidR="00407C48">
        <w:rPr>
          <w:rFonts w:ascii="Times New Roman" w:hAnsi="Times New Roman" w:cs="Times New Roman"/>
        </w:rPr>
        <w:t xml:space="preserve">artėjant pensiniam amžiui, </w:t>
      </w:r>
      <w:r w:rsidR="00890F2A">
        <w:rPr>
          <w:rFonts w:ascii="Times New Roman" w:hAnsi="Times New Roman" w:cs="Times New Roman"/>
        </w:rPr>
        <w:t xml:space="preserve">atitinkamo </w:t>
      </w:r>
      <w:r w:rsidR="00407C48">
        <w:rPr>
          <w:rFonts w:ascii="Times New Roman" w:hAnsi="Times New Roman" w:cs="Times New Roman"/>
        </w:rPr>
        <w:t xml:space="preserve">GCF </w:t>
      </w:r>
      <w:r w:rsidR="00890F2A">
        <w:rPr>
          <w:rFonts w:ascii="Times New Roman" w:hAnsi="Times New Roman" w:cs="Times New Roman"/>
        </w:rPr>
        <w:t xml:space="preserve">portfelyje mažėja </w:t>
      </w:r>
      <w:r w:rsidR="00407C48">
        <w:rPr>
          <w:rFonts w:ascii="Times New Roman" w:hAnsi="Times New Roman" w:cs="Times New Roman"/>
        </w:rPr>
        <w:t>rizikingesnių akcijų ir d</w:t>
      </w:r>
      <w:r w:rsidR="00890F2A">
        <w:rPr>
          <w:rFonts w:ascii="Times New Roman" w:hAnsi="Times New Roman" w:cs="Times New Roman"/>
        </w:rPr>
        <w:t xml:space="preserve">augėja </w:t>
      </w:r>
      <w:r w:rsidR="00407C48">
        <w:rPr>
          <w:rFonts w:ascii="Times New Roman" w:hAnsi="Times New Roman" w:cs="Times New Roman"/>
        </w:rPr>
        <w:t xml:space="preserve">saugių obligacijų </w:t>
      </w:r>
      <w:r w:rsidR="00691FDB">
        <w:rPr>
          <w:rFonts w:ascii="Times New Roman" w:hAnsi="Times New Roman" w:cs="Times New Roman"/>
        </w:rPr>
        <w:t xml:space="preserve">bei kitų vertybinių popierių </w:t>
      </w:r>
      <w:r w:rsidR="00A05D47">
        <w:rPr>
          <w:rFonts w:ascii="Times New Roman" w:hAnsi="Times New Roman" w:cs="Times New Roman"/>
        </w:rPr>
        <w:t xml:space="preserve">dalis. </w:t>
      </w:r>
      <w:r w:rsidR="00100550" w:rsidRPr="00100550">
        <w:rPr>
          <w:rFonts w:ascii="Times New Roman" w:hAnsi="Times New Roman" w:cs="Times New Roman"/>
        </w:rPr>
        <w:t xml:space="preserve">Konservatyvesni investavimo sprendimai </w:t>
      </w:r>
      <w:r w:rsidR="00A05D47">
        <w:rPr>
          <w:rFonts w:ascii="Times New Roman" w:hAnsi="Times New Roman" w:cs="Times New Roman"/>
        </w:rPr>
        <w:t xml:space="preserve">leidžia </w:t>
      </w:r>
      <w:r w:rsidR="00100550" w:rsidRPr="00100550">
        <w:rPr>
          <w:rFonts w:ascii="Times New Roman" w:hAnsi="Times New Roman" w:cs="Times New Roman"/>
        </w:rPr>
        <w:t>subalansuoti rizikas pagal kaupiančiojo amžių ir atsverti akcijų svyravimus, kuomet pastarųjų vertė juda žemyn</w:t>
      </w:r>
      <w:r w:rsidR="00A05D47">
        <w:rPr>
          <w:rFonts w:ascii="Times New Roman" w:hAnsi="Times New Roman" w:cs="Times New Roman"/>
        </w:rPr>
        <w:t xml:space="preserve"> – būtent tai ir matome </w:t>
      </w:r>
      <w:r w:rsidR="00894D41">
        <w:rPr>
          <w:rFonts w:ascii="Times New Roman" w:hAnsi="Times New Roman" w:cs="Times New Roman"/>
        </w:rPr>
        <w:t>iš pastar</w:t>
      </w:r>
      <w:r w:rsidR="00834FE0">
        <w:rPr>
          <w:rFonts w:ascii="Times New Roman" w:hAnsi="Times New Roman" w:cs="Times New Roman"/>
        </w:rPr>
        <w:t>ųjų</w:t>
      </w:r>
      <w:r w:rsidR="00894D41">
        <w:rPr>
          <w:rFonts w:ascii="Times New Roman" w:hAnsi="Times New Roman" w:cs="Times New Roman"/>
        </w:rPr>
        <w:t xml:space="preserve"> rezultatų“, – pabrėžia V. Rūkas. </w:t>
      </w:r>
    </w:p>
    <w:p w14:paraId="7FA64F02" w14:textId="412E0213" w:rsidR="008C198A" w:rsidRDefault="00A172EA" w:rsidP="00A172EA">
      <w:pPr>
        <w:jc w:val="both"/>
        <w:rPr>
          <w:rFonts w:ascii="Times New Roman" w:hAnsi="Times New Roman" w:cs="Times New Roman"/>
        </w:rPr>
      </w:pPr>
      <w:r w:rsidRPr="00E03EFA">
        <w:rPr>
          <w:rFonts w:ascii="Times New Roman" w:hAnsi="Times New Roman" w:cs="Times New Roman"/>
        </w:rPr>
        <w:t>Per metus visi pensijų fondai uždirb</w:t>
      </w:r>
      <w:r w:rsidR="00F556CB" w:rsidRPr="00E03EFA">
        <w:rPr>
          <w:rFonts w:ascii="Times New Roman" w:hAnsi="Times New Roman" w:cs="Times New Roman"/>
        </w:rPr>
        <w:t>o</w:t>
      </w:r>
      <w:r w:rsidRPr="00E03EFA">
        <w:rPr>
          <w:rFonts w:ascii="Times New Roman" w:hAnsi="Times New Roman" w:cs="Times New Roman"/>
        </w:rPr>
        <w:t xml:space="preserve"> teigiamą </w:t>
      </w:r>
      <w:r w:rsidR="007820B4" w:rsidRPr="00E03EFA">
        <w:rPr>
          <w:rFonts w:ascii="Times New Roman" w:hAnsi="Times New Roman" w:cs="Times New Roman"/>
        </w:rPr>
        <w:t>gr</w:t>
      </w:r>
      <w:r w:rsidR="007820B4">
        <w:rPr>
          <w:rFonts w:ascii="Times New Roman" w:hAnsi="Times New Roman" w:cs="Times New Roman"/>
        </w:rPr>
        <w:t>ą</w:t>
      </w:r>
      <w:r w:rsidR="007820B4" w:rsidRPr="00E03EFA">
        <w:rPr>
          <w:rFonts w:ascii="Times New Roman" w:hAnsi="Times New Roman" w:cs="Times New Roman"/>
        </w:rPr>
        <w:t>žą</w:t>
      </w:r>
      <w:r w:rsidRPr="00E03EFA">
        <w:rPr>
          <w:rFonts w:ascii="Times New Roman" w:hAnsi="Times New Roman" w:cs="Times New Roman"/>
        </w:rPr>
        <w:t xml:space="preserve">. </w:t>
      </w:r>
      <w:r w:rsidR="008C198A" w:rsidRPr="00E03EFA">
        <w:rPr>
          <w:rFonts w:ascii="Times New Roman" w:hAnsi="Times New Roman" w:cs="Times New Roman"/>
        </w:rPr>
        <w:t>Palyginti su praėjusių metų birželio pabaiga, atspariausi akcijų rinkų svyravimams pasirodė „Pensija 1961-1967“ fonda</w:t>
      </w:r>
      <w:r w:rsidRPr="00E03EFA">
        <w:rPr>
          <w:rFonts w:ascii="Times New Roman" w:hAnsi="Times New Roman" w:cs="Times New Roman"/>
        </w:rPr>
        <w:t>i</w:t>
      </w:r>
      <w:r w:rsidR="008C198A" w:rsidRPr="00E03EFA">
        <w:rPr>
          <w:rFonts w:ascii="Times New Roman" w:hAnsi="Times New Roman" w:cs="Times New Roman"/>
        </w:rPr>
        <w:t xml:space="preserve">, per metus </w:t>
      </w:r>
      <w:r w:rsidRPr="00E03EFA">
        <w:rPr>
          <w:rFonts w:ascii="Times New Roman" w:hAnsi="Times New Roman" w:cs="Times New Roman"/>
        </w:rPr>
        <w:t xml:space="preserve">vidutiniškai </w:t>
      </w:r>
      <w:r w:rsidR="008C198A" w:rsidRPr="00E03EFA">
        <w:rPr>
          <w:rFonts w:ascii="Times New Roman" w:hAnsi="Times New Roman" w:cs="Times New Roman"/>
        </w:rPr>
        <w:t>paaugę 5,31 proc. Bendras visų antrosios pakopos fondų svertinis vidurkis per pastaruosius 12 mėnesių buvo 3,43 proc.</w:t>
      </w:r>
      <w:r w:rsidR="008C198A">
        <w:rPr>
          <w:rFonts w:ascii="Times New Roman" w:hAnsi="Times New Roman" w:cs="Times New Roman"/>
        </w:rPr>
        <w:t xml:space="preserve"> </w:t>
      </w:r>
      <w:r w:rsidRPr="00C4250F">
        <w:rPr>
          <w:rFonts w:ascii="Times New Roman" w:hAnsi="Times New Roman" w:cs="Times New Roman"/>
        </w:rPr>
        <w:t>Išankstinis vidutinės metinės infliacijos įvertis, apskaičiuotas pagal SVKI, birželį sudarė 2,1 proc.</w:t>
      </w:r>
      <w:r w:rsidR="00C4250F">
        <w:rPr>
          <w:rFonts w:ascii="Times New Roman" w:hAnsi="Times New Roman" w:cs="Times New Roman"/>
        </w:rPr>
        <w:t xml:space="preserve"> </w:t>
      </w:r>
    </w:p>
    <w:p w14:paraId="3202F339" w14:textId="68CC3C3C" w:rsidR="00100550" w:rsidRDefault="0031200E" w:rsidP="00411D72">
      <w:pPr>
        <w:jc w:val="both"/>
        <w:rPr>
          <w:rFonts w:ascii="Times New Roman" w:hAnsi="Times New Roman" w:cs="Times New Roman"/>
        </w:rPr>
      </w:pPr>
      <w:r>
        <w:rPr>
          <w:rFonts w:ascii="Times New Roman" w:hAnsi="Times New Roman" w:cs="Times New Roman"/>
        </w:rPr>
        <w:t>Skaičiuojant nuo veiklos pradžios, didžiausią</w:t>
      </w:r>
      <w:r w:rsidR="00EA45FE">
        <w:rPr>
          <w:rFonts w:ascii="Times New Roman" w:hAnsi="Times New Roman" w:cs="Times New Roman"/>
        </w:rPr>
        <w:t>,</w:t>
      </w:r>
      <w:r>
        <w:rPr>
          <w:rFonts w:ascii="Times New Roman" w:hAnsi="Times New Roman" w:cs="Times New Roman"/>
        </w:rPr>
        <w:t xml:space="preserve"> </w:t>
      </w:r>
      <w:r w:rsidR="00EA45FE">
        <w:rPr>
          <w:rFonts w:ascii="Times New Roman" w:hAnsi="Times New Roman" w:cs="Times New Roman"/>
        </w:rPr>
        <w:t xml:space="preserve">87,75 proc. siekiančią </w:t>
      </w:r>
      <w:r>
        <w:rPr>
          <w:rFonts w:ascii="Times New Roman" w:hAnsi="Times New Roman" w:cs="Times New Roman"/>
        </w:rPr>
        <w:t xml:space="preserve">investicinę grąžą šiuo metu yra sugeneravę </w:t>
      </w:r>
      <w:r w:rsidR="00FB2802">
        <w:rPr>
          <w:rFonts w:ascii="Times New Roman" w:hAnsi="Times New Roman" w:cs="Times New Roman"/>
        </w:rPr>
        <w:t>44-50 m. amžiaus GCF</w:t>
      </w:r>
      <w:r w:rsidR="00452FD7">
        <w:rPr>
          <w:rFonts w:ascii="Times New Roman" w:hAnsi="Times New Roman" w:cs="Times New Roman"/>
        </w:rPr>
        <w:t xml:space="preserve">. </w:t>
      </w:r>
      <w:r w:rsidR="00F616AD">
        <w:rPr>
          <w:rFonts w:ascii="Times New Roman" w:hAnsi="Times New Roman" w:cs="Times New Roman"/>
        </w:rPr>
        <w:t>Daugiau nei 80 proc. nuo veiklos pradžios taip pat uždirbo ir visų</w:t>
      </w:r>
      <w:r w:rsidR="00EE4DD4">
        <w:rPr>
          <w:rFonts w:ascii="Times New Roman" w:hAnsi="Times New Roman" w:cs="Times New Roman"/>
        </w:rPr>
        <w:t xml:space="preserve"> kitų</w:t>
      </w:r>
      <w:r w:rsidR="00F616AD">
        <w:rPr>
          <w:rFonts w:ascii="Times New Roman" w:hAnsi="Times New Roman" w:cs="Times New Roman"/>
        </w:rPr>
        <w:t>, jaunesnių nei 44 m. amžiaus</w:t>
      </w:r>
      <w:r w:rsidR="00EE4DD4">
        <w:rPr>
          <w:rFonts w:ascii="Times New Roman" w:hAnsi="Times New Roman" w:cs="Times New Roman"/>
        </w:rPr>
        <w:t>,</w:t>
      </w:r>
      <w:r w:rsidR="00F616AD">
        <w:rPr>
          <w:rFonts w:ascii="Times New Roman" w:hAnsi="Times New Roman" w:cs="Times New Roman"/>
        </w:rPr>
        <w:t xml:space="preserve"> Lietuvos gyventojų GCF. </w:t>
      </w:r>
      <w:r w:rsidR="00606196" w:rsidRPr="00606196">
        <w:rPr>
          <w:rFonts w:ascii="Times New Roman" w:hAnsi="Times New Roman" w:cs="Times New Roman"/>
        </w:rPr>
        <w:t>1968-1974</w:t>
      </w:r>
      <w:r w:rsidR="00606196">
        <w:rPr>
          <w:rFonts w:ascii="Times New Roman" w:hAnsi="Times New Roman" w:cs="Times New Roman"/>
        </w:rPr>
        <w:t xml:space="preserve"> m. gimusiųjų pensijų fondų pelningumas nuo veiklos pradžios birželio pabaigoje siekė </w:t>
      </w:r>
      <w:r w:rsidR="005F5649">
        <w:rPr>
          <w:rFonts w:ascii="Times New Roman" w:hAnsi="Times New Roman" w:cs="Times New Roman"/>
        </w:rPr>
        <w:t>75,63 proc., o mažiausiai pelning</w:t>
      </w:r>
      <w:r w:rsidR="00095DA1">
        <w:rPr>
          <w:rFonts w:ascii="Times New Roman" w:hAnsi="Times New Roman" w:cs="Times New Roman"/>
        </w:rPr>
        <w:t>as</w:t>
      </w:r>
      <w:r w:rsidR="005F5649">
        <w:rPr>
          <w:rFonts w:ascii="Times New Roman" w:hAnsi="Times New Roman" w:cs="Times New Roman"/>
        </w:rPr>
        <w:t xml:space="preserve"> buvo konservatyviausi</w:t>
      </w:r>
      <w:r w:rsidR="00095DA1">
        <w:rPr>
          <w:rFonts w:ascii="Times New Roman" w:hAnsi="Times New Roman" w:cs="Times New Roman"/>
        </w:rPr>
        <w:t xml:space="preserve">as „Turto išsaugojimo fondas“, nuo veiklos pradžios sugeneravęs </w:t>
      </w:r>
      <w:r w:rsidR="00855CFA">
        <w:rPr>
          <w:rFonts w:ascii="Times New Roman" w:hAnsi="Times New Roman" w:cs="Times New Roman"/>
        </w:rPr>
        <w:t xml:space="preserve">14,86 proc. pelną. </w:t>
      </w:r>
    </w:p>
    <w:p w14:paraId="19737646" w14:textId="3F0A2C42" w:rsidR="002C0B9D" w:rsidRPr="00411D72" w:rsidRDefault="00207C1D" w:rsidP="00411D72">
      <w:pPr>
        <w:jc w:val="both"/>
        <w:rPr>
          <w:rFonts w:ascii="Times New Roman" w:hAnsi="Times New Roman" w:cs="Times New Roman"/>
          <w:b/>
          <w:bCs/>
        </w:rPr>
      </w:pPr>
      <w:r>
        <w:rPr>
          <w:rFonts w:ascii="Times New Roman" w:hAnsi="Times New Roman" w:cs="Times New Roman"/>
          <w:b/>
          <w:bCs/>
        </w:rPr>
        <w:t xml:space="preserve">III pensijų pakopos rezultatai </w:t>
      </w:r>
    </w:p>
    <w:p w14:paraId="606D54EE" w14:textId="24CB1870" w:rsidR="000564F2" w:rsidRPr="00411D72" w:rsidRDefault="000564F2" w:rsidP="000564F2">
      <w:pPr>
        <w:jc w:val="both"/>
        <w:rPr>
          <w:rFonts w:ascii="Times New Roman" w:hAnsi="Times New Roman" w:cs="Times New Roman"/>
        </w:rPr>
      </w:pPr>
      <w:r>
        <w:rPr>
          <w:rFonts w:ascii="Times New Roman" w:hAnsi="Times New Roman" w:cs="Times New Roman"/>
        </w:rPr>
        <w:t xml:space="preserve">Po pirmojo šių metų ketvirčio smuktelėjimo atsigavo ir </w:t>
      </w:r>
      <w:r w:rsidRPr="00843789">
        <w:rPr>
          <w:rFonts w:ascii="Times New Roman" w:hAnsi="Times New Roman" w:cs="Times New Roman"/>
        </w:rPr>
        <w:t>III pensijų pakopos fondų bendras svertinis vidurkis</w:t>
      </w:r>
      <w:r>
        <w:rPr>
          <w:rFonts w:ascii="Times New Roman" w:hAnsi="Times New Roman" w:cs="Times New Roman"/>
        </w:rPr>
        <w:t xml:space="preserve">, antrąjį 2025 m. ketvirtį fiksavęs 2,59 proc. augimą. </w:t>
      </w:r>
      <w:r w:rsidRPr="00843789">
        <w:rPr>
          <w:rFonts w:ascii="Times New Roman" w:hAnsi="Times New Roman" w:cs="Times New Roman"/>
        </w:rPr>
        <w:t xml:space="preserve">Bendra III pakopos fonduose sukaupto turto vertė </w:t>
      </w:r>
      <w:r>
        <w:rPr>
          <w:rFonts w:ascii="Times New Roman" w:hAnsi="Times New Roman" w:cs="Times New Roman"/>
        </w:rPr>
        <w:t xml:space="preserve">birželio pabaigoje buvo 437,5 </w:t>
      </w:r>
      <w:r w:rsidRPr="00843789">
        <w:rPr>
          <w:rFonts w:ascii="Times New Roman" w:hAnsi="Times New Roman" w:cs="Times New Roman"/>
        </w:rPr>
        <w:t>mln. eur</w:t>
      </w:r>
      <w:r>
        <w:rPr>
          <w:rFonts w:ascii="Times New Roman" w:hAnsi="Times New Roman" w:cs="Times New Roman"/>
        </w:rPr>
        <w:t>ų, arba 26 proc. daugiau nei prieš metus (</w:t>
      </w:r>
      <w:r w:rsidRPr="009355BC">
        <w:rPr>
          <w:rFonts w:ascii="Times New Roman" w:hAnsi="Times New Roman" w:cs="Times New Roman"/>
        </w:rPr>
        <w:t>346,9 mln. eurų</w:t>
      </w:r>
      <w:r>
        <w:rPr>
          <w:rFonts w:ascii="Times New Roman" w:hAnsi="Times New Roman" w:cs="Times New Roman"/>
        </w:rPr>
        <w:t xml:space="preserve">). </w:t>
      </w:r>
    </w:p>
    <w:p w14:paraId="3828892D" w14:textId="5EE8819F" w:rsidR="00280B35" w:rsidRDefault="006063FD" w:rsidP="00411D72">
      <w:pPr>
        <w:jc w:val="both"/>
        <w:rPr>
          <w:rFonts w:ascii="Times New Roman" w:hAnsi="Times New Roman" w:cs="Times New Roman"/>
        </w:rPr>
      </w:pPr>
      <w:r w:rsidRPr="00E03EFA">
        <w:rPr>
          <w:rFonts w:ascii="Times New Roman" w:hAnsi="Times New Roman" w:cs="Times New Roman"/>
        </w:rPr>
        <w:t>Per metus, l</w:t>
      </w:r>
      <w:r w:rsidR="007418CD" w:rsidRPr="00E03EFA">
        <w:rPr>
          <w:rFonts w:ascii="Times New Roman" w:hAnsi="Times New Roman" w:cs="Times New Roman"/>
        </w:rPr>
        <w:t>yginant su praėjusių metų birželio pabaiga</w:t>
      </w:r>
      <w:r w:rsidR="00C35A41" w:rsidRPr="00E03EFA">
        <w:rPr>
          <w:rFonts w:ascii="Times New Roman" w:hAnsi="Times New Roman" w:cs="Times New Roman"/>
        </w:rPr>
        <w:t xml:space="preserve">, </w:t>
      </w:r>
      <w:r w:rsidR="007418CD" w:rsidRPr="00E03EFA">
        <w:rPr>
          <w:rFonts w:ascii="Times New Roman" w:hAnsi="Times New Roman" w:cs="Times New Roman"/>
        </w:rPr>
        <w:t>didesnės akcijų dalies fond</w:t>
      </w:r>
      <w:r w:rsidR="00C35A41" w:rsidRPr="00E03EFA">
        <w:rPr>
          <w:rFonts w:ascii="Times New Roman" w:hAnsi="Times New Roman" w:cs="Times New Roman"/>
        </w:rPr>
        <w:t>uose</w:t>
      </w:r>
      <w:r w:rsidR="007418CD" w:rsidRPr="00E03EFA">
        <w:rPr>
          <w:rFonts w:ascii="Times New Roman" w:hAnsi="Times New Roman" w:cs="Times New Roman"/>
        </w:rPr>
        <w:t xml:space="preserve"> </w:t>
      </w:r>
      <w:r w:rsidR="00C35A41" w:rsidRPr="00E03EFA">
        <w:rPr>
          <w:rFonts w:ascii="Times New Roman" w:hAnsi="Times New Roman" w:cs="Times New Roman"/>
        </w:rPr>
        <w:t xml:space="preserve">fiksuojamas </w:t>
      </w:r>
      <w:r w:rsidR="007418CD" w:rsidRPr="00E03EFA">
        <w:rPr>
          <w:rFonts w:ascii="Times New Roman" w:hAnsi="Times New Roman" w:cs="Times New Roman"/>
        </w:rPr>
        <w:t>3,71 proc.</w:t>
      </w:r>
      <w:r w:rsidR="00E03EFA" w:rsidRPr="00E03EFA">
        <w:rPr>
          <w:rFonts w:ascii="Times New Roman" w:hAnsi="Times New Roman" w:cs="Times New Roman"/>
        </w:rPr>
        <w:t xml:space="preserve"> prieaugis</w:t>
      </w:r>
      <w:r w:rsidR="007418CD" w:rsidRPr="00E03EFA">
        <w:rPr>
          <w:rFonts w:ascii="Times New Roman" w:hAnsi="Times New Roman" w:cs="Times New Roman"/>
        </w:rPr>
        <w:t>, mišraus investavimo – 5,18 proc., o mažesnės rizikos fondai ūgtelėjo 5,42 proc. Bendras visų trečiosios pakopos fondų svertinis vidurkis per pastaruosius 12 mėnesių siekė 4,25 proc.</w:t>
      </w:r>
      <w:r w:rsidR="007418CD">
        <w:rPr>
          <w:rFonts w:ascii="Times New Roman" w:hAnsi="Times New Roman" w:cs="Times New Roman"/>
        </w:rPr>
        <w:t xml:space="preserve"> </w:t>
      </w:r>
    </w:p>
    <w:tbl>
      <w:tblPr>
        <w:tblW w:w="9080" w:type="dxa"/>
        <w:tblLook w:val="04A0" w:firstRow="1" w:lastRow="0" w:firstColumn="1" w:lastColumn="0" w:noHBand="0" w:noVBand="1"/>
      </w:tblPr>
      <w:tblGrid>
        <w:gridCol w:w="3100"/>
        <w:gridCol w:w="1180"/>
        <w:gridCol w:w="2060"/>
        <w:gridCol w:w="2740"/>
      </w:tblGrid>
      <w:tr w:rsidR="00C431A8" w:rsidRPr="00C431A8" w14:paraId="48F2BEC6" w14:textId="77777777" w:rsidTr="00C431A8">
        <w:trPr>
          <w:trHeight w:val="576"/>
        </w:trPr>
        <w:tc>
          <w:tcPr>
            <w:tcW w:w="3100" w:type="dxa"/>
            <w:tcBorders>
              <w:top w:val="single" w:sz="4" w:space="0" w:color="auto"/>
              <w:left w:val="single" w:sz="4" w:space="0" w:color="auto"/>
              <w:bottom w:val="single" w:sz="4" w:space="0" w:color="auto"/>
              <w:right w:val="single" w:sz="4" w:space="0" w:color="auto"/>
            </w:tcBorders>
            <w:vAlign w:val="center"/>
            <w:hideMark/>
          </w:tcPr>
          <w:p w14:paraId="3EF02593" w14:textId="3A4F7B94" w:rsidR="00C431A8" w:rsidRPr="00C431A8" w:rsidRDefault="00C431A8" w:rsidP="00C431A8">
            <w:pPr>
              <w:spacing w:after="0" w:line="240" w:lineRule="auto"/>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II pakopos fondų kategorijos grąžos vidurkis</w:t>
            </w:r>
          </w:p>
        </w:tc>
        <w:tc>
          <w:tcPr>
            <w:tcW w:w="1180" w:type="dxa"/>
            <w:tcBorders>
              <w:top w:val="single" w:sz="4" w:space="0" w:color="auto"/>
              <w:left w:val="nil"/>
              <w:bottom w:val="single" w:sz="4" w:space="0" w:color="auto"/>
              <w:right w:val="single" w:sz="4" w:space="0" w:color="auto"/>
            </w:tcBorders>
            <w:vAlign w:val="center"/>
            <w:hideMark/>
          </w:tcPr>
          <w:p w14:paraId="1DDE4F3F" w14:textId="77777777" w:rsidR="00C431A8" w:rsidRPr="00C431A8" w:rsidRDefault="00C431A8" w:rsidP="00C431A8">
            <w:pPr>
              <w:spacing w:after="0" w:line="240" w:lineRule="auto"/>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II ketv. (3 mėn.)</w:t>
            </w:r>
          </w:p>
        </w:tc>
        <w:tc>
          <w:tcPr>
            <w:tcW w:w="2060" w:type="dxa"/>
            <w:tcBorders>
              <w:top w:val="single" w:sz="4" w:space="0" w:color="auto"/>
              <w:left w:val="nil"/>
              <w:bottom w:val="single" w:sz="4" w:space="0" w:color="auto"/>
              <w:right w:val="single" w:sz="4" w:space="0" w:color="auto"/>
            </w:tcBorders>
            <w:vAlign w:val="center"/>
            <w:hideMark/>
          </w:tcPr>
          <w:p w14:paraId="7492EB5E" w14:textId="5C569BC8" w:rsidR="00C431A8" w:rsidRPr="00C431A8" w:rsidRDefault="00834FE0" w:rsidP="00C431A8">
            <w:pPr>
              <w:spacing w:after="0" w:line="240" w:lineRule="auto"/>
              <w:rPr>
                <w:rFonts w:ascii="Times New Roman" w:eastAsia="Times New Roman" w:hAnsi="Times New Roman" w:cs="Times New Roman"/>
                <w:b/>
                <w:bCs/>
                <w:color w:val="000000"/>
                <w:kern w:val="0"/>
                <w:sz w:val="20"/>
                <w:szCs w:val="20"/>
                <w:lang w:eastAsia="lt-LT" w:bidi="ar-SA"/>
                <w14:ligatures w14:val="none"/>
              </w:rPr>
            </w:pPr>
            <w:r>
              <w:rPr>
                <w:rFonts w:ascii="Times New Roman" w:eastAsia="Times New Roman" w:hAnsi="Times New Roman" w:cs="Times New Roman"/>
                <w:b/>
                <w:bCs/>
                <w:color w:val="000000"/>
                <w:kern w:val="0"/>
                <w:sz w:val="20"/>
                <w:szCs w:val="20"/>
                <w:lang w:eastAsia="lt-LT" w:bidi="ar-SA"/>
                <w14:ligatures w14:val="none"/>
              </w:rPr>
              <w:t xml:space="preserve">Per metus nuo 2024 I pusm. </w:t>
            </w:r>
          </w:p>
        </w:tc>
        <w:tc>
          <w:tcPr>
            <w:tcW w:w="2740" w:type="dxa"/>
            <w:tcBorders>
              <w:top w:val="single" w:sz="4" w:space="0" w:color="auto"/>
              <w:left w:val="nil"/>
              <w:bottom w:val="single" w:sz="4" w:space="0" w:color="auto"/>
              <w:right w:val="single" w:sz="4" w:space="0" w:color="auto"/>
            </w:tcBorders>
            <w:vAlign w:val="center"/>
            <w:hideMark/>
          </w:tcPr>
          <w:p w14:paraId="435C59ED" w14:textId="77777777" w:rsidR="00C431A8" w:rsidRPr="00C431A8" w:rsidRDefault="00C431A8" w:rsidP="00C431A8">
            <w:pPr>
              <w:spacing w:after="0" w:line="240" w:lineRule="auto"/>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Nuo GCF veiklos pradžios (2019 m.)</w:t>
            </w:r>
          </w:p>
        </w:tc>
      </w:tr>
      <w:tr w:rsidR="00BA4EFA" w:rsidRPr="00C431A8" w14:paraId="26701A75" w14:textId="77777777" w:rsidTr="00260DB0">
        <w:trPr>
          <w:trHeight w:val="320"/>
        </w:trPr>
        <w:tc>
          <w:tcPr>
            <w:tcW w:w="3100" w:type="dxa"/>
            <w:tcBorders>
              <w:top w:val="single" w:sz="4" w:space="0" w:color="auto"/>
              <w:left w:val="single" w:sz="4" w:space="0" w:color="auto"/>
              <w:bottom w:val="single" w:sz="4" w:space="0" w:color="auto"/>
              <w:right w:val="single" w:sz="4" w:space="0" w:color="auto"/>
            </w:tcBorders>
            <w:vAlign w:val="center"/>
          </w:tcPr>
          <w:p w14:paraId="265E3DEF" w14:textId="3413A019" w:rsidR="00BA4EFA" w:rsidRPr="000174D5" w:rsidRDefault="00BA4EFA"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0174D5">
              <w:rPr>
                <w:rFonts w:ascii="Times New Roman" w:eastAsia="Times New Roman" w:hAnsi="Times New Roman" w:cs="Times New Roman"/>
                <w:color w:val="000000"/>
                <w:kern w:val="0"/>
                <w:sz w:val="20"/>
                <w:szCs w:val="20"/>
                <w:lang w:eastAsia="lt-LT" w:bidi="ar-SA"/>
                <w14:ligatures w14:val="none"/>
              </w:rPr>
              <w:t>Pensija 2003 - 2009</w:t>
            </w:r>
          </w:p>
        </w:tc>
        <w:tc>
          <w:tcPr>
            <w:tcW w:w="1180" w:type="dxa"/>
            <w:tcBorders>
              <w:top w:val="single" w:sz="4" w:space="0" w:color="auto"/>
              <w:left w:val="nil"/>
              <w:bottom w:val="single" w:sz="4" w:space="0" w:color="auto"/>
              <w:right w:val="single" w:sz="4" w:space="0" w:color="auto"/>
            </w:tcBorders>
            <w:vAlign w:val="center"/>
          </w:tcPr>
          <w:p w14:paraId="087ACC79" w14:textId="4BB060A3" w:rsidR="00BA4EFA" w:rsidRPr="000174D5" w:rsidRDefault="002E3F88" w:rsidP="002E3F88">
            <w:pPr>
              <w:spacing w:after="0" w:line="240" w:lineRule="auto"/>
              <w:jc w:val="center"/>
              <w:rPr>
                <w:rFonts w:ascii="Times New Roman" w:eastAsia="Times New Roman" w:hAnsi="Times New Roman" w:cs="Times New Roman"/>
                <w:color w:val="000000"/>
                <w:kern w:val="0"/>
                <w:sz w:val="20"/>
                <w:szCs w:val="20"/>
                <w:lang w:val="en-US" w:eastAsia="lt-LT" w:bidi="ar-SA"/>
                <w14:ligatures w14:val="none"/>
              </w:rPr>
            </w:pPr>
            <w:r w:rsidRPr="000174D5">
              <w:rPr>
                <w:rFonts w:ascii="Times New Roman" w:eastAsia="Times New Roman" w:hAnsi="Times New Roman" w:cs="Times New Roman"/>
                <w:color w:val="000000"/>
                <w:kern w:val="0"/>
                <w:sz w:val="20"/>
                <w:szCs w:val="20"/>
                <w:lang w:eastAsia="lt-LT" w:bidi="ar-SA"/>
                <w14:ligatures w14:val="none"/>
              </w:rPr>
              <w:t>3,21</w:t>
            </w:r>
            <w:r w:rsidRPr="000174D5">
              <w:rPr>
                <w:rFonts w:ascii="Times New Roman" w:eastAsia="Times New Roman" w:hAnsi="Times New Roman" w:cs="Times New Roman"/>
                <w:color w:val="000000"/>
                <w:kern w:val="0"/>
                <w:sz w:val="20"/>
                <w:szCs w:val="20"/>
                <w:lang w:val="en-US" w:eastAsia="lt-LT" w:bidi="ar-SA"/>
                <w14:ligatures w14:val="none"/>
              </w:rPr>
              <w:t>%</w:t>
            </w:r>
          </w:p>
        </w:tc>
        <w:tc>
          <w:tcPr>
            <w:tcW w:w="2060" w:type="dxa"/>
            <w:tcBorders>
              <w:top w:val="single" w:sz="4" w:space="0" w:color="auto"/>
              <w:left w:val="nil"/>
              <w:bottom w:val="single" w:sz="4" w:space="0" w:color="auto"/>
              <w:right w:val="single" w:sz="4" w:space="0" w:color="auto"/>
            </w:tcBorders>
            <w:vAlign w:val="center"/>
          </w:tcPr>
          <w:p w14:paraId="6A02FED8" w14:textId="087D3EF9" w:rsidR="00BA4EFA" w:rsidRDefault="00BA4EFA" w:rsidP="00BA4EFA">
            <w:pPr>
              <w:spacing w:after="0" w:line="240" w:lineRule="auto"/>
              <w:jc w:val="center"/>
              <w:rPr>
                <w:rFonts w:ascii="Times New Roman" w:eastAsia="Times New Roman" w:hAnsi="Times New Roman" w:cs="Times New Roman"/>
                <w:b/>
                <w:bCs/>
                <w:color w:val="000000"/>
                <w:kern w:val="0"/>
                <w:sz w:val="20"/>
                <w:szCs w:val="20"/>
                <w:lang w:eastAsia="lt-LT" w:bidi="ar-SA"/>
                <w14:ligatures w14:val="none"/>
              </w:rPr>
            </w:pPr>
            <w:r>
              <w:rPr>
                <w:rFonts w:ascii="Times New Roman" w:eastAsia="Times New Roman" w:hAnsi="Times New Roman" w:cs="Times New Roman"/>
                <w:b/>
                <w:bCs/>
                <w:color w:val="000000"/>
                <w:kern w:val="0"/>
                <w:sz w:val="20"/>
                <w:szCs w:val="20"/>
                <w:lang w:eastAsia="lt-LT" w:bidi="ar-SA"/>
                <w14:ligatures w14:val="none"/>
              </w:rPr>
              <w:t>-</w:t>
            </w:r>
          </w:p>
        </w:tc>
        <w:tc>
          <w:tcPr>
            <w:tcW w:w="2740" w:type="dxa"/>
            <w:tcBorders>
              <w:top w:val="single" w:sz="4" w:space="0" w:color="auto"/>
              <w:left w:val="nil"/>
              <w:bottom w:val="single" w:sz="4" w:space="0" w:color="auto"/>
              <w:right w:val="single" w:sz="4" w:space="0" w:color="auto"/>
            </w:tcBorders>
            <w:vAlign w:val="center"/>
          </w:tcPr>
          <w:p w14:paraId="0FF789DA" w14:textId="33FE0CA0" w:rsidR="00BA4EFA" w:rsidRPr="00C431A8" w:rsidRDefault="00BA4EFA" w:rsidP="00BA4EFA">
            <w:pPr>
              <w:spacing w:after="0" w:line="240" w:lineRule="auto"/>
              <w:jc w:val="center"/>
              <w:rPr>
                <w:rFonts w:ascii="Times New Roman" w:eastAsia="Times New Roman" w:hAnsi="Times New Roman" w:cs="Times New Roman"/>
                <w:b/>
                <w:bCs/>
                <w:color w:val="000000"/>
                <w:kern w:val="0"/>
                <w:sz w:val="20"/>
                <w:szCs w:val="20"/>
                <w:lang w:eastAsia="lt-LT" w:bidi="ar-SA"/>
                <w14:ligatures w14:val="none"/>
              </w:rPr>
            </w:pPr>
            <w:r>
              <w:rPr>
                <w:rFonts w:ascii="Times New Roman" w:eastAsia="Times New Roman" w:hAnsi="Times New Roman" w:cs="Times New Roman"/>
                <w:b/>
                <w:bCs/>
                <w:color w:val="000000"/>
                <w:kern w:val="0"/>
                <w:sz w:val="20"/>
                <w:szCs w:val="20"/>
                <w:lang w:eastAsia="lt-LT" w:bidi="ar-SA"/>
                <w14:ligatures w14:val="none"/>
              </w:rPr>
              <w:t>-</w:t>
            </w:r>
          </w:p>
        </w:tc>
      </w:tr>
      <w:tr w:rsidR="00C431A8" w:rsidRPr="00C431A8" w14:paraId="5FB12868"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238D9E6E" w14:textId="77777777" w:rsidR="00C431A8" w:rsidRPr="00C431A8" w:rsidRDefault="00C431A8"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Pensija 1996 – 2002</w:t>
            </w:r>
          </w:p>
        </w:tc>
        <w:tc>
          <w:tcPr>
            <w:tcW w:w="1180" w:type="dxa"/>
            <w:tcBorders>
              <w:top w:val="nil"/>
              <w:left w:val="nil"/>
              <w:bottom w:val="single" w:sz="4" w:space="0" w:color="auto"/>
              <w:right w:val="single" w:sz="4" w:space="0" w:color="auto"/>
            </w:tcBorders>
            <w:noWrap/>
            <w:vAlign w:val="center"/>
            <w:hideMark/>
          </w:tcPr>
          <w:p w14:paraId="0B03960A"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2,90%</w:t>
            </w:r>
          </w:p>
        </w:tc>
        <w:tc>
          <w:tcPr>
            <w:tcW w:w="2060" w:type="dxa"/>
            <w:tcBorders>
              <w:top w:val="nil"/>
              <w:left w:val="nil"/>
              <w:bottom w:val="single" w:sz="4" w:space="0" w:color="auto"/>
              <w:right w:val="single" w:sz="4" w:space="0" w:color="auto"/>
            </w:tcBorders>
            <w:noWrap/>
            <w:vAlign w:val="center"/>
          </w:tcPr>
          <w:p w14:paraId="239FBA54" w14:textId="11BD7980" w:rsidR="00C431A8" w:rsidRPr="00C431A8" w:rsidRDefault="008C198A"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4,48%</w:t>
            </w:r>
          </w:p>
        </w:tc>
        <w:tc>
          <w:tcPr>
            <w:tcW w:w="2740" w:type="dxa"/>
            <w:tcBorders>
              <w:top w:val="nil"/>
              <w:left w:val="nil"/>
              <w:bottom w:val="single" w:sz="4" w:space="0" w:color="auto"/>
              <w:right w:val="single" w:sz="4" w:space="0" w:color="auto"/>
            </w:tcBorders>
            <w:noWrap/>
            <w:vAlign w:val="center"/>
            <w:hideMark/>
          </w:tcPr>
          <w:p w14:paraId="41BBE0F0"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81,02%</w:t>
            </w:r>
          </w:p>
        </w:tc>
      </w:tr>
      <w:tr w:rsidR="00C431A8" w:rsidRPr="00C431A8" w14:paraId="283C4E1E"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2A681A17" w14:textId="77777777" w:rsidR="00C431A8" w:rsidRPr="00C431A8" w:rsidRDefault="00C431A8"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Pensija 1989 – 1995</w:t>
            </w:r>
          </w:p>
        </w:tc>
        <w:tc>
          <w:tcPr>
            <w:tcW w:w="1180" w:type="dxa"/>
            <w:tcBorders>
              <w:top w:val="nil"/>
              <w:left w:val="nil"/>
              <w:bottom w:val="single" w:sz="4" w:space="0" w:color="auto"/>
              <w:right w:val="single" w:sz="4" w:space="0" w:color="auto"/>
            </w:tcBorders>
            <w:noWrap/>
            <w:vAlign w:val="center"/>
            <w:hideMark/>
          </w:tcPr>
          <w:p w14:paraId="76BDA4F1"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2,82%</w:t>
            </w:r>
          </w:p>
        </w:tc>
        <w:tc>
          <w:tcPr>
            <w:tcW w:w="2060" w:type="dxa"/>
            <w:tcBorders>
              <w:top w:val="nil"/>
              <w:left w:val="nil"/>
              <w:bottom w:val="single" w:sz="4" w:space="0" w:color="auto"/>
              <w:right w:val="single" w:sz="4" w:space="0" w:color="auto"/>
            </w:tcBorders>
            <w:noWrap/>
            <w:vAlign w:val="center"/>
          </w:tcPr>
          <w:p w14:paraId="646DA16B" w14:textId="557597E7" w:rsidR="00C431A8" w:rsidRPr="00C431A8" w:rsidRDefault="008C198A"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3,67%</w:t>
            </w:r>
          </w:p>
        </w:tc>
        <w:tc>
          <w:tcPr>
            <w:tcW w:w="2740" w:type="dxa"/>
            <w:tcBorders>
              <w:top w:val="nil"/>
              <w:left w:val="nil"/>
              <w:bottom w:val="single" w:sz="4" w:space="0" w:color="auto"/>
              <w:right w:val="single" w:sz="4" w:space="0" w:color="auto"/>
            </w:tcBorders>
            <w:noWrap/>
            <w:vAlign w:val="center"/>
            <w:hideMark/>
          </w:tcPr>
          <w:p w14:paraId="5CD6670D"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84,59%</w:t>
            </w:r>
          </w:p>
        </w:tc>
      </w:tr>
      <w:tr w:rsidR="00C431A8" w:rsidRPr="00C431A8" w14:paraId="4A05D028"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2C8D9A0F" w14:textId="77777777" w:rsidR="00C431A8" w:rsidRPr="00C431A8" w:rsidRDefault="00C431A8"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Pensija 1982 – 1988</w:t>
            </w:r>
          </w:p>
        </w:tc>
        <w:tc>
          <w:tcPr>
            <w:tcW w:w="1180" w:type="dxa"/>
            <w:tcBorders>
              <w:top w:val="nil"/>
              <w:left w:val="nil"/>
              <w:bottom w:val="single" w:sz="4" w:space="0" w:color="auto"/>
              <w:right w:val="single" w:sz="4" w:space="0" w:color="auto"/>
            </w:tcBorders>
            <w:noWrap/>
            <w:vAlign w:val="center"/>
            <w:hideMark/>
          </w:tcPr>
          <w:p w14:paraId="4F5BFE06"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2,89%</w:t>
            </w:r>
          </w:p>
        </w:tc>
        <w:tc>
          <w:tcPr>
            <w:tcW w:w="2060" w:type="dxa"/>
            <w:tcBorders>
              <w:top w:val="nil"/>
              <w:left w:val="nil"/>
              <w:bottom w:val="single" w:sz="4" w:space="0" w:color="auto"/>
              <w:right w:val="single" w:sz="4" w:space="0" w:color="auto"/>
            </w:tcBorders>
            <w:noWrap/>
            <w:vAlign w:val="center"/>
          </w:tcPr>
          <w:p w14:paraId="172D1E73" w14:textId="5E5E3A1B" w:rsidR="00C431A8" w:rsidRPr="00C431A8" w:rsidRDefault="008C198A"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3,74%</w:t>
            </w:r>
          </w:p>
        </w:tc>
        <w:tc>
          <w:tcPr>
            <w:tcW w:w="2740" w:type="dxa"/>
            <w:tcBorders>
              <w:top w:val="nil"/>
              <w:left w:val="nil"/>
              <w:bottom w:val="single" w:sz="4" w:space="0" w:color="auto"/>
              <w:right w:val="single" w:sz="4" w:space="0" w:color="auto"/>
            </w:tcBorders>
            <w:noWrap/>
            <w:vAlign w:val="center"/>
            <w:hideMark/>
          </w:tcPr>
          <w:p w14:paraId="38F5D554"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86,33%</w:t>
            </w:r>
          </w:p>
        </w:tc>
      </w:tr>
      <w:tr w:rsidR="00C431A8" w:rsidRPr="00C431A8" w14:paraId="0AF36BD3"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5C0F63CC" w14:textId="77777777" w:rsidR="00C431A8" w:rsidRPr="00C431A8" w:rsidRDefault="00C431A8"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Pensija 1975 – 1981</w:t>
            </w:r>
          </w:p>
        </w:tc>
        <w:tc>
          <w:tcPr>
            <w:tcW w:w="1180" w:type="dxa"/>
            <w:tcBorders>
              <w:top w:val="nil"/>
              <w:left w:val="nil"/>
              <w:bottom w:val="single" w:sz="4" w:space="0" w:color="auto"/>
              <w:right w:val="single" w:sz="4" w:space="0" w:color="auto"/>
            </w:tcBorders>
            <w:noWrap/>
            <w:vAlign w:val="center"/>
            <w:hideMark/>
          </w:tcPr>
          <w:p w14:paraId="55747E12"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2,91%</w:t>
            </w:r>
          </w:p>
        </w:tc>
        <w:tc>
          <w:tcPr>
            <w:tcW w:w="2060" w:type="dxa"/>
            <w:tcBorders>
              <w:top w:val="nil"/>
              <w:left w:val="nil"/>
              <w:bottom w:val="single" w:sz="4" w:space="0" w:color="auto"/>
              <w:right w:val="single" w:sz="4" w:space="0" w:color="auto"/>
            </w:tcBorders>
            <w:noWrap/>
            <w:vAlign w:val="center"/>
          </w:tcPr>
          <w:p w14:paraId="71156721" w14:textId="2E4E2F89" w:rsidR="00C431A8" w:rsidRPr="00C431A8" w:rsidRDefault="008C198A"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3,75%</w:t>
            </w:r>
          </w:p>
        </w:tc>
        <w:tc>
          <w:tcPr>
            <w:tcW w:w="2740" w:type="dxa"/>
            <w:tcBorders>
              <w:top w:val="nil"/>
              <w:left w:val="nil"/>
              <w:bottom w:val="single" w:sz="4" w:space="0" w:color="auto"/>
              <w:right w:val="single" w:sz="4" w:space="0" w:color="auto"/>
            </w:tcBorders>
            <w:noWrap/>
            <w:vAlign w:val="center"/>
            <w:hideMark/>
          </w:tcPr>
          <w:p w14:paraId="5D226116"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87,75%</w:t>
            </w:r>
          </w:p>
        </w:tc>
      </w:tr>
      <w:tr w:rsidR="00C431A8" w:rsidRPr="00C431A8" w14:paraId="6EF83CF7"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377C4788" w14:textId="77777777" w:rsidR="00C431A8" w:rsidRPr="00C431A8" w:rsidRDefault="00C431A8"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Pensija 1968 – 1974</w:t>
            </w:r>
          </w:p>
        </w:tc>
        <w:tc>
          <w:tcPr>
            <w:tcW w:w="1180" w:type="dxa"/>
            <w:tcBorders>
              <w:top w:val="nil"/>
              <w:left w:val="nil"/>
              <w:bottom w:val="single" w:sz="4" w:space="0" w:color="auto"/>
              <w:right w:val="single" w:sz="4" w:space="0" w:color="auto"/>
            </w:tcBorders>
            <w:noWrap/>
            <w:vAlign w:val="center"/>
            <w:hideMark/>
          </w:tcPr>
          <w:p w14:paraId="35D109FE"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2,65%</w:t>
            </w:r>
          </w:p>
        </w:tc>
        <w:tc>
          <w:tcPr>
            <w:tcW w:w="2060" w:type="dxa"/>
            <w:tcBorders>
              <w:top w:val="nil"/>
              <w:left w:val="nil"/>
              <w:bottom w:val="single" w:sz="4" w:space="0" w:color="auto"/>
              <w:right w:val="single" w:sz="4" w:space="0" w:color="auto"/>
            </w:tcBorders>
            <w:noWrap/>
            <w:vAlign w:val="center"/>
          </w:tcPr>
          <w:p w14:paraId="2F792A18" w14:textId="5F0730E0" w:rsidR="00C431A8" w:rsidRPr="00C431A8" w:rsidRDefault="008C198A"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4,60%</w:t>
            </w:r>
          </w:p>
        </w:tc>
        <w:tc>
          <w:tcPr>
            <w:tcW w:w="2740" w:type="dxa"/>
            <w:tcBorders>
              <w:top w:val="nil"/>
              <w:left w:val="nil"/>
              <w:bottom w:val="single" w:sz="4" w:space="0" w:color="auto"/>
              <w:right w:val="single" w:sz="4" w:space="0" w:color="auto"/>
            </w:tcBorders>
            <w:noWrap/>
            <w:vAlign w:val="center"/>
            <w:hideMark/>
          </w:tcPr>
          <w:p w14:paraId="5650A5DF"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75,63%</w:t>
            </w:r>
          </w:p>
        </w:tc>
      </w:tr>
      <w:tr w:rsidR="00C431A8" w:rsidRPr="00C431A8" w14:paraId="361D0C24"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4447D195" w14:textId="77777777" w:rsidR="00C431A8" w:rsidRPr="00C431A8" w:rsidRDefault="00C431A8"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Pensija 1961 – 1967</w:t>
            </w:r>
          </w:p>
        </w:tc>
        <w:tc>
          <w:tcPr>
            <w:tcW w:w="1180" w:type="dxa"/>
            <w:tcBorders>
              <w:top w:val="nil"/>
              <w:left w:val="nil"/>
              <w:bottom w:val="single" w:sz="4" w:space="0" w:color="auto"/>
              <w:right w:val="single" w:sz="4" w:space="0" w:color="auto"/>
            </w:tcBorders>
            <w:noWrap/>
            <w:vAlign w:val="center"/>
            <w:hideMark/>
          </w:tcPr>
          <w:p w14:paraId="124012BB"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2,33%</w:t>
            </w:r>
          </w:p>
        </w:tc>
        <w:tc>
          <w:tcPr>
            <w:tcW w:w="2060" w:type="dxa"/>
            <w:tcBorders>
              <w:top w:val="nil"/>
              <w:left w:val="nil"/>
              <w:bottom w:val="single" w:sz="4" w:space="0" w:color="auto"/>
              <w:right w:val="single" w:sz="4" w:space="0" w:color="auto"/>
            </w:tcBorders>
            <w:noWrap/>
            <w:vAlign w:val="center"/>
          </w:tcPr>
          <w:p w14:paraId="3F1B3BFE" w14:textId="22625A82" w:rsidR="00C431A8" w:rsidRPr="00C431A8" w:rsidRDefault="008C198A"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5,31%</w:t>
            </w:r>
          </w:p>
        </w:tc>
        <w:tc>
          <w:tcPr>
            <w:tcW w:w="2740" w:type="dxa"/>
            <w:tcBorders>
              <w:top w:val="nil"/>
              <w:left w:val="nil"/>
              <w:bottom w:val="single" w:sz="4" w:space="0" w:color="auto"/>
              <w:right w:val="single" w:sz="4" w:space="0" w:color="auto"/>
            </w:tcBorders>
            <w:noWrap/>
            <w:vAlign w:val="center"/>
            <w:hideMark/>
          </w:tcPr>
          <w:p w14:paraId="12D9519F"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43,67%</w:t>
            </w:r>
          </w:p>
        </w:tc>
      </w:tr>
      <w:tr w:rsidR="00C431A8" w:rsidRPr="00C431A8" w14:paraId="6F6A3CA1"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13679095" w14:textId="77777777" w:rsidR="00C431A8" w:rsidRPr="00C431A8" w:rsidRDefault="00C431A8"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Pensija 1954 – 1960</w:t>
            </w:r>
          </w:p>
        </w:tc>
        <w:tc>
          <w:tcPr>
            <w:tcW w:w="1180" w:type="dxa"/>
            <w:tcBorders>
              <w:top w:val="nil"/>
              <w:left w:val="nil"/>
              <w:bottom w:val="single" w:sz="4" w:space="0" w:color="auto"/>
              <w:right w:val="single" w:sz="4" w:space="0" w:color="auto"/>
            </w:tcBorders>
            <w:noWrap/>
            <w:vAlign w:val="center"/>
            <w:hideMark/>
          </w:tcPr>
          <w:p w14:paraId="07224CE5"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1,84%</w:t>
            </w:r>
          </w:p>
        </w:tc>
        <w:tc>
          <w:tcPr>
            <w:tcW w:w="2060" w:type="dxa"/>
            <w:tcBorders>
              <w:top w:val="nil"/>
              <w:left w:val="nil"/>
              <w:bottom w:val="single" w:sz="4" w:space="0" w:color="auto"/>
              <w:right w:val="single" w:sz="4" w:space="0" w:color="auto"/>
            </w:tcBorders>
            <w:noWrap/>
            <w:vAlign w:val="center"/>
          </w:tcPr>
          <w:p w14:paraId="49EC9979" w14:textId="5CD9F8DC" w:rsidR="00C431A8" w:rsidRPr="00C431A8" w:rsidRDefault="008C198A"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4,95%</w:t>
            </w:r>
          </w:p>
        </w:tc>
        <w:tc>
          <w:tcPr>
            <w:tcW w:w="2740" w:type="dxa"/>
            <w:tcBorders>
              <w:top w:val="nil"/>
              <w:left w:val="nil"/>
              <w:bottom w:val="single" w:sz="4" w:space="0" w:color="auto"/>
              <w:right w:val="single" w:sz="4" w:space="0" w:color="auto"/>
            </w:tcBorders>
            <w:noWrap/>
            <w:vAlign w:val="center"/>
            <w:hideMark/>
          </w:tcPr>
          <w:p w14:paraId="14C89E36"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17,40%</w:t>
            </w:r>
          </w:p>
        </w:tc>
      </w:tr>
      <w:tr w:rsidR="00C431A8" w:rsidRPr="00C431A8" w14:paraId="028D47D2"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59A4E379" w14:textId="77777777" w:rsidR="00C431A8" w:rsidRPr="00C431A8" w:rsidRDefault="00C431A8" w:rsidP="00C431A8">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Turto išsaugojimo fondas</w:t>
            </w:r>
          </w:p>
        </w:tc>
        <w:tc>
          <w:tcPr>
            <w:tcW w:w="1180" w:type="dxa"/>
            <w:tcBorders>
              <w:top w:val="nil"/>
              <w:left w:val="nil"/>
              <w:bottom w:val="single" w:sz="4" w:space="0" w:color="auto"/>
              <w:right w:val="single" w:sz="4" w:space="0" w:color="auto"/>
            </w:tcBorders>
            <w:noWrap/>
            <w:vAlign w:val="center"/>
            <w:hideMark/>
          </w:tcPr>
          <w:p w14:paraId="25B783E2"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2,02%</w:t>
            </w:r>
          </w:p>
        </w:tc>
        <w:tc>
          <w:tcPr>
            <w:tcW w:w="2060" w:type="dxa"/>
            <w:tcBorders>
              <w:top w:val="nil"/>
              <w:left w:val="nil"/>
              <w:bottom w:val="single" w:sz="4" w:space="0" w:color="auto"/>
              <w:right w:val="single" w:sz="4" w:space="0" w:color="auto"/>
            </w:tcBorders>
            <w:noWrap/>
            <w:vAlign w:val="center"/>
          </w:tcPr>
          <w:p w14:paraId="0C4B304C" w14:textId="754757D5" w:rsidR="00C431A8" w:rsidRPr="00C431A8" w:rsidRDefault="008C198A"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5,16%</w:t>
            </w:r>
          </w:p>
        </w:tc>
        <w:tc>
          <w:tcPr>
            <w:tcW w:w="2740" w:type="dxa"/>
            <w:tcBorders>
              <w:top w:val="nil"/>
              <w:left w:val="nil"/>
              <w:bottom w:val="single" w:sz="4" w:space="0" w:color="auto"/>
              <w:right w:val="single" w:sz="4" w:space="0" w:color="auto"/>
            </w:tcBorders>
            <w:noWrap/>
            <w:vAlign w:val="center"/>
            <w:hideMark/>
          </w:tcPr>
          <w:p w14:paraId="3B889A1E" w14:textId="77777777" w:rsidR="00C431A8" w:rsidRPr="00C431A8" w:rsidRDefault="00C431A8" w:rsidP="00C431A8">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14,86%</w:t>
            </w:r>
          </w:p>
        </w:tc>
      </w:tr>
      <w:tr w:rsidR="00C431A8" w:rsidRPr="00C431A8" w14:paraId="74C30040" w14:textId="77777777" w:rsidTr="008C198A">
        <w:trPr>
          <w:trHeight w:val="288"/>
        </w:trPr>
        <w:tc>
          <w:tcPr>
            <w:tcW w:w="3100" w:type="dxa"/>
            <w:tcBorders>
              <w:top w:val="nil"/>
              <w:left w:val="single" w:sz="4" w:space="0" w:color="auto"/>
              <w:bottom w:val="single" w:sz="4" w:space="0" w:color="auto"/>
              <w:right w:val="single" w:sz="4" w:space="0" w:color="auto"/>
            </w:tcBorders>
            <w:noWrap/>
            <w:vAlign w:val="bottom"/>
            <w:hideMark/>
          </w:tcPr>
          <w:p w14:paraId="0108EB61" w14:textId="77777777" w:rsidR="00C431A8" w:rsidRPr="00C431A8" w:rsidRDefault="00C431A8" w:rsidP="00C431A8">
            <w:pPr>
              <w:spacing w:after="0" w:line="240" w:lineRule="auto"/>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Bendras svorinis vidurkis</w:t>
            </w:r>
          </w:p>
        </w:tc>
        <w:tc>
          <w:tcPr>
            <w:tcW w:w="1180" w:type="dxa"/>
            <w:tcBorders>
              <w:top w:val="nil"/>
              <w:left w:val="nil"/>
              <w:bottom w:val="single" w:sz="4" w:space="0" w:color="auto"/>
              <w:right w:val="single" w:sz="4" w:space="0" w:color="auto"/>
            </w:tcBorders>
            <w:noWrap/>
            <w:vAlign w:val="center"/>
            <w:hideMark/>
          </w:tcPr>
          <w:p w14:paraId="4E3AA289" w14:textId="77777777" w:rsidR="00C431A8" w:rsidRPr="00C431A8" w:rsidRDefault="00C431A8" w:rsidP="00C431A8">
            <w:pPr>
              <w:spacing w:after="0" w:line="240" w:lineRule="auto"/>
              <w:jc w:val="center"/>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2,65%</w:t>
            </w:r>
          </w:p>
        </w:tc>
        <w:tc>
          <w:tcPr>
            <w:tcW w:w="2060" w:type="dxa"/>
            <w:tcBorders>
              <w:top w:val="nil"/>
              <w:left w:val="nil"/>
              <w:bottom w:val="single" w:sz="4" w:space="0" w:color="auto"/>
              <w:right w:val="single" w:sz="4" w:space="0" w:color="auto"/>
            </w:tcBorders>
            <w:noWrap/>
            <w:vAlign w:val="center"/>
          </w:tcPr>
          <w:p w14:paraId="3A7A3862" w14:textId="164D8CE8" w:rsidR="00C431A8" w:rsidRPr="00C431A8" w:rsidRDefault="008C198A" w:rsidP="00C431A8">
            <w:pPr>
              <w:spacing w:after="0" w:line="240" w:lineRule="auto"/>
              <w:jc w:val="center"/>
              <w:rPr>
                <w:rFonts w:ascii="Times New Roman" w:eastAsia="Times New Roman" w:hAnsi="Times New Roman" w:cs="Times New Roman"/>
                <w:b/>
                <w:bCs/>
                <w:color w:val="000000"/>
                <w:kern w:val="0"/>
                <w:sz w:val="20"/>
                <w:szCs w:val="20"/>
                <w:lang w:eastAsia="lt-LT" w:bidi="ar-SA"/>
                <w14:ligatures w14:val="none"/>
              </w:rPr>
            </w:pPr>
            <w:r>
              <w:rPr>
                <w:rFonts w:ascii="Times New Roman" w:eastAsia="Times New Roman" w:hAnsi="Times New Roman" w:cs="Times New Roman"/>
                <w:b/>
                <w:bCs/>
                <w:color w:val="000000"/>
                <w:kern w:val="0"/>
                <w:sz w:val="20"/>
                <w:szCs w:val="20"/>
                <w:lang w:eastAsia="lt-LT" w:bidi="ar-SA"/>
                <w14:ligatures w14:val="none"/>
              </w:rPr>
              <w:t>3,43%</w:t>
            </w:r>
          </w:p>
        </w:tc>
        <w:tc>
          <w:tcPr>
            <w:tcW w:w="2740" w:type="dxa"/>
            <w:tcBorders>
              <w:top w:val="nil"/>
              <w:left w:val="nil"/>
              <w:bottom w:val="single" w:sz="4" w:space="0" w:color="auto"/>
              <w:right w:val="single" w:sz="4" w:space="0" w:color="auto"/>
            </w:tcBorders>
            <w:noWrap/>
            <w:vAlign w:val="center"/>
            <w:hideMark/>
          </w:tcPr>
          <w:p w14:paraId="7DD1CD6E" w14:textId="77777777" w:rsidR="00C431A8" w:rsidRPr="00C431A8" w:rsidRDefault="00C431A8" w:rsidP="00C431A8">
            <w:pPr>
              <w:spacing w:after="0" w:line="240" w:lineRule="auto"/>
              <w:jc w:val="center"/>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74,80%</w:t>
            </w:r>
          </w:p>
        </w:tc>
      </w:tr>
    </w:tbl>
    <w:p w14:paraId="58A3F875" w14:textId="77777777" w:rsidR="00EA2753" w:rsidRPr="00C431A8" w:rsidRDefault="00EA2753" w:rsidP="00411D72">
      <w:pPr>
        <w:jc w:val="both"/>
        <w:rPr>
          <w:rFonts w:ascii="Times New Roman" w:hAnsi="Times New Roman" w:cs="Times New Roman"/>
          <w:sz w:val="22"/>
          <w:szCs w:val="22"/>
        </w:rPr>
      </w:pPr>
    </w:p>
    <w:tbl>
      <w:tblPr>
        <w:tblW w:w="9050" w:type="dxa"/>
        <w:tblLook w:val="04A0" w:firstRow="1" w:lastRow="0" w:firstColumn="1" w:lastColumn="0" w:noHBand="0" w:noVBand="1"/>
      </w:tblPr>
      <w:tblGrid>
        <w:gridCol w:w="3702"/>
        <w:gridCol w:w="2674"/>
        <w:gridCol w:w="2674"/>
      </w:tblGrid>
      <w:tr w:rsidR="00834FE0" w:rsidRPr="00C431A8" w14:paraId="49D9DC04" w14:textId="0976DEBA" w:rsidTr="00BC35F8">
        <w:trPr>
          <w:trHeight w:val="551"/>
        </w:trPr>
        <w:tc>
          <w:tcPr>
            <w:tcW w:w="3702" w:type="dxa"/>
            <w:tcBorders>
              <w:top w:val="single" w:sz="4" w:space="0" w:color="auto"/>
              <w:left w:val="single" w:sz="4" w:space="0" w:color="auto"/>
              <w:bottom w:val="single" w:sz="4" w:space="0" w:color="auto"/>
              <w:right w:val="single" w:sz="4" w:space="0" w:color="auto"/>
            </w:tcBorders>
            <w:vAlign w:val="center"/>
            <w:hideMark/>
          </w:tcPr>
          <w:p w14:paraId="7F2EA787" w14:textId="77777777" w:rsidR="00834FE0" w:rsidRPr="00C431A8" w:rsidRDefault="00834FE0" w:rsidP="00834FE0">
            <w:pPr>
              <w:spacing w:after="0" w:line="240" w:lineRule="auto"/>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III pakopos fondų kategorijos grąžos vidurkis</w:t>
            </w:r>
          </w:p>
        </w:tc>
        <w:tc>
          <w:tcPr>
            <w:tcW w:w="2674" w:type="dxa"/>
            <w:tcBorders>
              <w:top w:val="single" w:sz="4" w:space="0" w:color="auto"/>
              <w:left w:val="nil"/>
              <w:bottom w:val="single" w:sz="4" w:space="0" w:color="auto"/>
              <w:right w:val="single" w:sz="4" w:space="0" w:color="auto"/>
            </w:tcBorders>
            <w:noWrap/>
            <w:vAlign w:val="center"/>
            <w:hideMark/>
          </w:tcPr>
          <w:p w14:paraId="3BDDDFA7" w14:textId="344723BB" w:rsidR="00834FE0" w:rsidRPr="00C431A8" w:rsidRDefault="00834FE0" w:rsidP="00834FE0">
            <w:pPr>
              <w:spacing w:after="0" w:line="240" w:lineRule="auto"/>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II ketv. (3 mėn.)</w:t>
            </w:r>
          </w:p>
        </w:tc>
        <w:tc>
          <w:tcPr>
            <w:tcW w:w="2674" w:type="dxa"/>
            <w:tcBorders>
              <w:top w:val="single" w:sz="4" w:space="0" w:color="auto"/>
              <w:left w:val="nil"/>
              <w:bottom w:val="single" w:sz="4" w:space="0" w:color="auto"/>
              <w:right w:val="single" w:sz="4" w:space="0" w:color="auto"/>
            </w:tcBorders>
            <w:vAlign w:val="center"/>
          </w:tcPr>
          <w:p w14:paraId="304B43D7" w14:textId="270AFC98" w:rsidR="00834FE0" w:rsidRPr="00C431A8" w:rsidRDefault="00834FE0" w:rsidP="00834FE0">
            <w:pPr>
              <w:spacing w:after="0" w:line="240" w:lineRule="auto"/>
              <w:rPr>
                <w:rFonts w:ascii="Times New Roman" w:eastAsia="Times New Roman" w:hAnsi="Times New Roman" w:cs="Times New Roman"/>
                <w:b/>
                <w:bCs/>
                <w:color w:val="000000"/>
                <w:kern w:val="0"/>
                <w:sz w:val="20"/>
                <w:szCs w:val="20"/>
                <w:lang w:eastAsia="lt-LT" w:bidi="ar-SA"/>
                <w14:ligatures w14:val="none"/>
              </w:rPr>
            </w:pPr>
            <w:r>
              <w:rPr>
                <w:rFonts w:ascii="Times New Roman" w:eastAsia="Times New Roman" w:hAnsi="Times New Roman" w:cs="Times New Roman"/>
                <w:b/>
                <w:bCs/>
                <w:color w:val="000000"/>
                <w:kern w:val="0"/>
                <w:sz w:val="20"/>
                <w:szCs w:val="20"/>
                <w:lang w:eastAsia="lt-LT" w:bidi="ar-SA"/>
                <w14:ligatures w14:val="none"/>
              </w:rPr>
              <w:t xml:space="preserve">Per metus nuo 2024 I pusm. </w:t>
            </w:r>
          </w:p>
        </w:tc>
      </w:tr>
      <w:tr w:rsidR="00834FE0" w:rsidRPr="00C431A8" w14:paraId="5382E8DD" w14:textId="52765767" w:rsidTr="00BC35F8">
        <w:trPr>
          <w:trHeight w:val="275"/>
        </w:trPr>
        <w:tc>
          <w:tcPr>
            <w:tcW w:w="3702" w:type="dxa"/>
            <w:tcBorders>
              <w:top w:val="nil"/>
              <w:left w:val="single" w:sz="4" w:space="0" w:color="auto"/>
              <w:bottom w:val="single" w:sz="4" w:space="0" w:color="auto"/>
              <w:right w:val="single" w:sz="4" w:space="0" w:color="auto"/>
            </w:tcBorders>
            <w:noWrap/>
            <w:vAlign w:val="bottom"/>
            <w:hideMark/>
          </w:tcPr>
          <w:p w14:paraId="45DA50D5" w14:textId="77777777" w:rsidR="00834FE0" w:rsidRPr="00C431A8" w:rsidRDefault="00834FE0" w:rsidP="00834FE0">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Didesnės akcijų dalies P3P fondai</w:t>
            </w:r>
          </w:p>
        </w:tc>
        <w:tc>
          <w:tcPr>
            <w:tcW w:w="2674" w:type="dxa"/>
            <w:tcBorders>
              <w:top w:val="nil"/>
              <w:left w:val="nil"/>
              <w:bottom w:val="single" w:sz="4" w:space="0" w:color="auto"/>
              <w:right w:val="single" w:sz="4" w:space="0" w:color="auto"/>
            </w:tcBorders>
            <w:noWrap/>
            <w:vAlign w:val="center"/>
          </w:tcPr>
          <w:p w14:paraId="635BCAE0" w14:textId="2D420CFA" w:rsidR="00834FE0" w:rsidRPr="00C431A8" w:rsidRDefault="00A231EB" w:rsidP="00834FE0">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2</w:t>
            </w:r>
            <w:r w:rsidR="00834FE0" w:rsidRPr="00C431A8">
              <w:rPr>
                <w:rFonts w:ascii="Times New Roman" w:eastAsia="Times New Roman" w:hAnsi="Times New Roman" w:cs="Times New Roman"/>
                <w:color w:val="000000"/>
                <w:kern w:val="0"/>
                <w:sz w:val="20"/>
                <w:szCs w:val="20"/>
                <w:lang w:eastAsia="lt-LT" w:bidi="ar-SA"/>
                <w14:ligatures w14:val="none"/>
              </w:rPr>
              <w:t>,</w:t>
            </w:r>
            <w:r>
              <w:rPr>
                <w:rFonts w:ascii="Times New Roman" w:eastAsia="Times New Roman" w:hAnsi="Times New Roman" w:cs="Times New Roman"/>
                <w:color w:val="000000"/>
                <w:kern w:val="0"/>
                <w:sz w:val="20"/>
                <w:szCs w:val="20"/>
                <w:lang w:eastAsia="lt-LT" w:bidi="ar-SA"/>
                <w14:ligatures w14:val="none"/>
              </w:rPr>
              <w:t>68</w:t>
            </w:r>
            <w:r w:rsidR="00834FE0" w:rsidRPr="00C431A8">
              <w:rPr>
                <w:rFonts w:ascii="Times New Roman" w:eastAsia="Times New Roman" w:hAnsi="Times New Roman" w:cs="Times New Roman"/>
                <w:color w:val="000000"/>
                <w:kern w:val="0"/>
                <w:sz w:val="20"/>
                <w:szCs w:val="20"/>
                <w:lang w:eastAsia="lt-LT" w:bidi="ar-SA"/>
                <w14:ligatures w14:val="none"/>
              </w:rPr>
              <w:t>%</w:t>
            </w:r>
          </w:p>
        </w:tc>
        <w:tc>
          <w:tcPr>
            <w:tcW w:w="2674" w:type="dxa"/>
            <w:tcBorders>
              <w:top w:val="nil"/>
              <w:left w:val="nil"/>
              <w:bottom w:val="single" w:sz="4" w:space="0" w:color="auto"/>
              <w:right w:val="single" w:sz="4" w:space="0" w:color="auto"/>
            </w:tcBorders>
            <w:vAlign w:val="center"/>
          </w:tcPr>
          <w:p w14:paraId="2103DFE0" w14:textId="1A7F40A3" w:rsidR="00834FE0" w:rsidRPr="00C431A8" w:rsidRDefault="00834FE0" w:rsidP="00834FE0">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3,</w:t>
            </w:r>
            <w:r w:rsidR="007418CD">
              <w:rPr>
                <w:rFonts w:ascii="Times New Roman" w:eastAsia="Times New Roman" w:hAnsi="Times New Roman" w:cs="Times New Roman"/>
                <w:color w:val="000000"/>
                <w:kern w:val="0"/>
                <w:sz w:val="20"/>
                <w:szCs w:val="20"/>
                <w:lang w:eastAsia="lt-LT" w:bidi="ar-SA"/>
                <w14:ligatures w14:val="none"/>
              </w:rPr>
              <w:t>7</w:t>
            </w:r>
            <w:r w:rsidRPr="00C431A8">
              <w:rPr>
                <w:rFonts w:ascii="Times New Roman" w:eastAsia="Times New Roman" w:hAnsi="Times New Roman" w:cs="Times New Roman"/>
                <w:color w:val="000000"/>
                <w:kern w:val="0"/>
                <w:sz w:val="20"/>
                <w:szCs w:val="20"/>
                <w:lang w:eastAsia="lt-LT" w:bidi="ar-SA"/>
                <w14:ligatures w14:val="none"/>
              </w:rPr>
              <w:t>1%</w:t>
            </w:r>
          </w:p>
        </w:tc>
      </w:tr>
      <w:tr w:rsidR="00834FE0" w:rsidRPr="00C431A8" w14:paraId="2162D07F" w14:textId="2CB06141" w:rsidTr="00BC35F8">
        <w:trPr>
          <w:trHeight w:val="275"/>
        </w:trPr>
        <w:tc>
          <w:tcPr>
            <w:tcW w:w="3702" w:type="dxa"/>
            <w:tcBorders>
              <w:top w:val="nil"/>
              <w:left w:val="single" w:sz="4" w:space="0" w:color="auto"/>
              <w:bottom w:val="single" w:sz="4" w:space="0" w:color="auto"/>
              <w:right w:val="single" w:sz="4" w:space="0" w:color="auto"/>
            </w:tcBorders>
            <w:noWrap/>
            <w:vAlign w:val="bottom"/>
            <w:hideMark/>
          </w:tcPr>
          <w:p w14:paraId="602C38EE" w14:textId="77777777" w:rsidR="00834FE0" w:rsidRPr="00C431A8" w:rsidRDefault="00834FE0" w:rsidP="00834FE0">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Mišraus investavimo P3P fondai</w:t>
            </w:r>
          </w:p>
        </w:tc>
        <w:tc>
          <w:tcPr>
            <w:tcW w:w="2674" w:type="dxa"/>
            <w:tcBorders>
              <w:top w:val="nil"/>
              <w:left w:val="nil"/>
              <w:bottom w:val="single" w:sz="4" w:space="0" w:color="auto"/>
              <w:right w:val="single" w:sz="4" w:space="0" w:color="auto"/>
            </w:tcBorders>
            <w:noWrap/>
            <w:vAlign w:val="center"/>
          </w:tcPr>
          <w:p w14:paraId="1B90E9B7" w14:textId="77D1A81B" w:rsidR="00834FE0" w:rsidRPr="00C431A8" w:rsidRDefault="00FE084C" w:rsidP="00834FE0">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2</w:t>
            </w:r>
            <w:r w:rsidR="00834FE0" w:rsidRPr="00C431A8">
              <w:rPr>
                <w:rFonts w:ascii="Times New Roman" w:eastAsia="Times New Roman" w:hAnsi="Times New Roman" w:cs="Times New Roman"/>
                <w:color w:val="000000"/>
                <w:kern w:val="0"/>
                <w:sz w:val="20"/>
                <w:szCs w:val="20"/>
                <w:lang w:eastAsia="lt-LT" w:bidi="ar-SA"/>
                <w14:ligatures w14:val="none"/>
              </w:rPr>
              <w:t>,</w:t>
            </w:r>
            <w:r>
              <w:rPr>
                <w:rFonts w:ascii="Times New Roman" w:eastAsia="Times New Roman" w:hAnsi="Times New Roman" w:cs="Times New Roman"/>
                <w:color w:val="000000"/>
                <w:kern w:val="0"/>
                <w:sz w:val="20"/>
                <w:szCs w:val="20"/>
                <w:lang w:eastAsia="lt-LT" w:bidi="ar-SA"/>
                <w14:ligatures w14:val="none"/>
              </w:rPr>
              <w:t>63</w:t>
            </w:r>
            <w:r w:rsidR="00834FE0" w:rsidRPr="00C431A8">
              <w:rPr>
                <w:rFonts w:ascii="Times New Roman" w:eastAsia="Times New Roman" w:hAnsi="Times New Roman" w:cs="Times New Roman"/>
                <w:color w:val="000000"/>
                <w:kern w:val="0"/>
                <w:sz w:val="20"/>
                <w:szCs w:val="20"/>
                <w:lang w:eastAsia="lt-LT" w:bidi="ar-SA"/>
                <w14:ligatures w14:val="none"/>
              </w:rPr>
              <w:t>%</w:t>
            </w:r>
          </w:p>
        </w:tc>
        <w:tc>
          <w:tcPr>
            <w:tcW w:w="2674" w:type="dxa"/>
            <w:tcBorders>
              <w:top w:val="nil"/>
              <w:left w:val="nil"/>
              <w:bottom w:val="single" w:sz="4" w:space="0" w:color="auto"/>
              <w:right w:val="single" w:sz="4" w:space="0" w:color="auto"/>
            </w:tcBorders>
            <w:vAlign w:val="center"/>
          </w:tcPr>
          <w:p w14:paraId="058FBC08" w14:textId="3F49BBCA" w:rsidR="00834FE0" w:rsidRPr="00C431A8" w:rsidRDefault="007418CD" w:rsidP="00834FE0">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5</w:t>
            </w:r>
            <w:r w:rsidR="00834FE0" w:rsidRPr="00C431A8">
              <w:rPr>
                <w:rFonts w:ascii="Times New Roman" w:eastAsia="Times New Roman" w:hAnsi="Times New Roman" w:cs="Times New Roman"/>
                <w:color w:val="000000"/>
                <w:kern w:val="0"/>
                <w:sz w:val="20"/>
                <w:szCs w:val="20"/>
                <w:lang w:eastAsia="lt-LT" w:bidi="ar-SA"/>
                <w14:ligatures w14:val="none"/>
              </w:rPr>
              <w:t>,</w:t>
            </w:r>
            <w:r>
              <w:rPr>
                <w:rFonts w:ascii="Times New Roman" w:eastAsia="Times New Roman" w:hAnsi="Times New Roman" w:cs="Times New Roman"/>
                <w:color w:val="000000"/>
                <w:kern w:val="0"/>
                <w:sz w:val="20"/>
                <w:szCs w:val="20"/>
                <w:lang w:eastAsia="lt-LT" w:bidi="ar-SA"/>
                <w14:ligatures w14:val="none"/>
              </w:rPr>
              <w:t>18</w:t>
            </w:r>
            <w:r w:rsidR="00834FE0" w:rsidRPr="00C431A8">
              <w:rPr>
                <w:rFonts w:ascii="Times New Roman" w:eastAsia="Times New Roman" w:hAnsi="Times New Roman" w:cs="Times New Roman"/>
                <w:color w:val="000000"/>
                <w:kern w:val="0"/>
                <w:sz w:val="20"/>
                <w:szCs w:val="20"/>
                <w:lang w:eastAsia="lt-LT" w:bidi="ar-SA"/>
                <w14:ligatures w14:val="none"/>
              </w:rPr>
              <w:t>%</w:t>
            </w:r>
          </w:p>
        </w:tc>
      </w:tr>
      <w:tr w:rsidR="00834FE0" w:rsidRPr="00C431A8" w14:paraId="74D1BB9C" w14:textId="762D21F8" w:rsidTr="00BC35F8">
        <w:trPr>
          <w:trHeight w:val="275"/>
        </w:trPr>
        <w:tc>
          <w:tcPr>
            <w:tcW w:w="3702" w:type="dxa"/>
            <w:tcBorders>
              <w:top w:val="nil"/>
              <w:left w:val="single" w:sz="4" w:space="0" w:color="auto"/>
              <w:bottom w:val="single" w:sz="4" w:space="0" w:color="auto"/>
              <w:right w:val="single" w:sz="4" w:space="0" w:color="auto"/>
            </w:tcBorders>
            <w:noWrap/>
            <w:vAlign w:val="bottom"/>
            <w:hideMark/>
          </w:tcPr>
          <w:p w14:paraId="66E568C2" w14:textId="77777777" w:rsidR="00834FE0" w:rsidRPr="00C431A8" w:rsidRDefault="00834FE0" w:rsidP="00834FE0">
            <w:pPr>
              <w:spacing w:after="0" w:line="240" w:lineRule="auto"/>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Mažesnės rizikos P3P fondai</w:t>
            </w:r>
          </w:p>
        </w:tc>
        <w:tc>
          <w:tcPr>
            <w:tcW w:w="2674" w:type="dxa"/>
            <w:tcBorders>
              <w:top w:val="nil"/>
              <w:left w:val="nil"/>
              <w:bottom w:val="single" w:sz="4" w:space="0" w:color="auto"/>
              <w:right w:val="single" w:sz="4" w:space="0" w:color="auto"/>
            </w:tcBorders>
            <w:noWrap/>
            <w:vAlign w:val="center"/>
          </w:tcPr>
          <w:p w14:paraId="09F0C567" w14:textId="1AA71068" w:rsidR="00834FE0" w:rsidRPr="00C431A8" w:rsidRDefault="00834FE0" w:rsidP="00834FE0">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sidRPr="00C431A8">
              <w:rPr>
                <w:rFonts w:ascii="Times New Roman" w:eastAsia="Times New Roman" w:hAnsi="Times New Roman" w:cs="Times New Roman"/>
                <w:color w:val="000000"/>
                <w:kern w:val="0"/>
                <w:sz w:val="20"/>
                <w:szCs w:val="20"/>
                <w:lang w:eastAsia="lt-LT" w:bidi="ar-SA"/>
                <w14:ligatures w14:val="none"/>
              </w:rPr>
              <w:t>1,</w:t>
            </w:r>
            <w:r w:rsidR="00FE084C">
              <w:rPr>
                <w:rFonts w:ascii="Times New Roman" w:eastAsia="Times New Roman" w:hAnsi="Times New Roman" w:cs="Times New Roman"/>
                <w:color w:val="000000"/>
                <w:kern w:val="0"/>
                <w:sz w:val="20"/>
                <w:szCs w:val="20"/>
                <w:lang w:eastAsia="lt-LT" w:bidi="ar-SA"/>
                <w14:ligatures w14:val="none"/>
              </w:rPr>
              <w:t>7</w:t>
            </w:r>
            <w:r w:rsidRPr="00C431A8">
              <w:rPr>
                <w:rFonts w:ascii="Times New Roman" w:eastAsia="Times New Roman" w:hAnsi="Times New Roman" w:cs="Times New Roman"/>
                <w:color w:val="000000"/>
                <w:kern w:val="0"/>
                <w:sz w:val="20"/>
                <w:szCs w:val="20"/>
                <w:lang w:eastAsia="lt-LT" w:bidi="ar-SA"/>
                <w14:ligatures w14:val="none"/>
              </w:rPr>
              <w:t>9%</w:t>
            </w:r>
          </w:p>
        </w:tc>
        <w:tc>
          <w:tcPr>
            <w:tcW w:w="2674" w:type="dxa"/>
            <w:tcBorders>
              <w:top w:val="nil"/>
              <w:left w:val="nil"/>
              <w:bottom w:val="single" w:sz="4" w:space="0" w:color="auto"/>
              <w:right w:val="single" w:sz="4" w:space="0" w:color="auto"/>
            </w:tcBorders>
            <w:vAlign w:val="center"/>
          </w:tcPr>
          <w:p w14:paraId="3C7D2799" w14:textId="00F2F815" w:rsidR="00834FE0" w:rsidRPr="00C431A8" w:rsidRDefault="007418CD" w:rsidP="00834FE0">
            <w:pPr>
              <w:spacing w:after="0" w:line="240" w:lineRule="auto"/>
              <w:jc w:val="center"/>
              <w:rPr>
                <w:rFonts w:ascii="Times New Roman" w:eastAsia="Times New Roman" w:hAnsi="Times New Roman" w:cs="Times New Roman"/>
                <w:color w:val="000000"/>
                <w:kern w:val="0"/>
                <w:sz w:val="20"/>
                <w:szCs w:val="20"/>
                <w:lang w:eastAsia="lt-LT" w:bidi="ar-SA"/>
                <w14:ligatures w14:val="none"/>
              </w:rPr>
            </w:pPr>
            <w:r>
              <w:rPr>
                <w:rFonts w:ascii="Times New Roman" w:eastAsia="Times New Roman" w:hAnsi="Times New Roman" w:cs="Times New Roman"/>
                <w:color w:val="000000"/>
                <w:kern w:val="0"/>
                <w:sz w:val="20"/>
                <w:szCs w:val="20"/>
                <w:lang w:eastAsia="lt-LT" w:bidi="ar-SA"/>
                <w14:ligatures w14:val="none"/>
              </w:rPr>
              <w:t>5</w:t>
            </w:r>
            <w:r w:rsidR="00834FE0" w:rsidRPr="00C431A8">
              <w:rPr>
                <w:rFonts w:ascii="Times New Roman" w:eastAsia="Times New Roman" w:hAnsi="Times New Roman" w:cs="Times New Roman"/>
                <w:color w:val="000000"/>
                <w:kern w:val="0"/>
                <w:sz w:val="20"/>
                <w:szCs w:val="20"/>
                <w:lang w:eastAsia="lt-LT" w:bidi="ar-SA"/>
                <w14:ligatures w14:val="none"/>
              </w:rPr>
              <w:t>,4</w:t>
            </w:r>
            <w:r>
              <w:rPr>
                <w:rFonts w:ascii="Times New Roman" w:eastAsia="Times New Roman" w:hAnsi="Times New Roman" w:cs="Times New Roman"/>
                <w:color w:val="000000"/>
                <w:kern w:val="0"/>
                <w:sz w:val="20"/>
                <w:szCs w:val="20"/>
                <w:lang w:eastAsia="lt-LT" w:bidi="ar-SA"/>
                <w14:ligatures w14:val="none"/>
              </w:rPr>
              <w:t>2</w:t>
            </w:r>
            <w:r w:rsidR="00834FE0" w:rsidRPr="00C431A8">
              <w:rPr>
                <w:rFonts w:ascii="Times New Roman" w:eastAsia="Times New Roman" w:hAnsi="Times New Roman" w:cs="Times New Roman"/>
                <w:color w:val="000000"/>
                <w:kern w:val="0"/>
                <w:sz w:val="20"/>
                <w:szCs w:val="20"/>
                <w:lang w:eastAsia="lt-LT" w:bidi="ar-SA"/>
                <w14:ligatures w14:val="none"/>
              </w:rPr>
              <w:t>%</w:t>
            </w:r>
          </w:p>
        </w:tc>
      </w:tr>
      <w:tr w:rsidR="00834FE0" w:rsidRPr="00C431A8" w14:paraId="4846CBD4" w14:textId="2864DFD7" w:rsidTr="00BC35F8">
        <w:trPr>
          <w:trHeight w:val="275"/>
        </w:trPr>
        <w:tc>
          <w:tcPr>
            <w:tcW w:w="3702" w:type="dxa"/>
            <w:tcBorders>
              <w:top w:val="nil"/>
              <w:left w:val="single" w:sz="4" w:space="0" w:color="auto"/>
              <w:bottom w:val="single" w:sz="4" w:space="0" w:color="auto"/>
              <w:right w:val="single" w:sz="4" w:space="0" w:color="auto"/>
            </w:tcBorders>
            <w:noWrap/>
            <w:vAlign w:val="bottom"/>
            <w:hideMark/>
          </w:tcPr>
          <w:p w14:paraId="2D173C8B" w14:textId="77777777" w:rsidR="00834FE0" w:rsidRPr="00C431A8" w:rsidRDefault="00834FE0" w:rsidP="00834FE0">
            <w:pPr>
              <w:spacing w:after="0" w:line="240" w:lineRule="auto"/>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Bendras svertinis vidurkis</w:t>
            </w:r>
          </w:p>
        </w:tc>
        <w:tc>
          <w:tcPr>
            <w:tcW w:w="2674" w:type="dxa"/>
            <w:tcBorders>
              <w:top w:val="nil"/>
              <w:left w:val="nil"/>
              <w:bottom w:val="single" w:sz="4" w:space="0" w:color="auto"/>
              <w:right w:val="single" w:sz="4" w:space="0" w:color="auto"/>
            </w:tcBorders>
            <w:noWrap/>
            <w:vAlign w:val="center"/>
          </w:tcPr>
          <w:p w14:paraId="6F7A777C" w14:textId="354ECBD2" w:rsidR="00834FE0" w:rsidRPr="00C431A8" w:rsidRDefault="00834FE0" w:rsidP="00834FE0">
            <w:pPr>
              <w:spacing w:after="0" w:line="240" w:lineRule="auto"/>
              <w:jc w:val="center"/>
              <w:rPr>
                <w:rFonts w:ascii="Times New Roman" w:eastAsia="Times New Roman" w:hAnsi="Times New Roman" w:cs="Times New Roman"/>
                <w:b/>
                <w:bCs/>
                <w:color w:val="000000"/>
                <w:kern w:val="0"/>
                <w:sz w:val="20"/>
                <w:szCs w:val="20"/>
                <w:lang w:eastAsia="lt-LT" w:bidi="ar-SA"/>
                <w14:ligatures w14:val="none"/>
              </w:rPr>
            </w:pPr>
            <w:r w:rsidRPr="00C431A8">
              <w:rPr>
                <w:rFonts w:ascii="Times New Roman" w:eastAsia="Times New Roman" w:hAnsi="Times New Roman" w:cs="Times New Roman"/>
                <w:b/>
                <w:bCs/>
                <w:color w:val="000000"/>
                <w:kern w:val="0"/>
                <w:sz w:val="20"/>
                <w:szCs w:val="20"/>
                <w:lang w:eastAsia="lt-LT" w:bidi="ar-SA"/>
                <w14:ligatures w14:val="none"/>
              </w:rPr>
              <w:t>2,</w:t>
            </w:r>
            <w:r w:rsidR="00BC2F5D">
              <w:rPr>
                <w:rFonts w:ascii="Times New Roman" w:eastAsia="Times New Roman" w:hAnsi="Times New Roman" w:cs="Times New Roman"/>
                <w:b/>
                <w:bCs/>
                <w:color w:val="000000"/>
                <w:kern w:val="0"/>
                <w:sz w:val="20"/>
                <w:szCs w:val="20"/>
                <w:lang w:eastAsia="lt-LT" w:bidi="ar-SA"/>
                <w14:ligatures w14:val="none"/>
              </w:rPr>
              <w:t>59</w:t>
            </w:r>
            <w:r w:rsidRPr="00C431A8">
              <w:rPr>
                <w:rFonts w:ascii="Times New Roman" w:eastAsia="Times New Roman" w:hAnsi="Times New Roman" w:cs="Times New Roman"/>
                <w:b/>
                <w:bCs/>
                <w:color w:val="000000"/>
                <w:kern w:val="0"/>
                <w:sz w:val="20"/>
                <w:szCs w:val="20"/>
                <w:lang w:eastAsia="lt-LT" w:bidi="ar-SA"/>
                <w14:ligatures w14:val="none"/>
              </w:rPr>
              <w:t>%</w:t>
            </w:r>
          </w:p>
        </w:tc>
        <w:tc>
          <w:tcPr>
            <w:tcW w:w="2674" w:type="dxa"/>
            <w:tcBorders>
              <w:top w:val="nil"/>
              <w:left w:val="nil"/>
              <w:bottom w:val="single" w:sz="4" w:space="0" w:color="auto"/>
              <w:right w:val="single" w:sz="4" w:space="0" w:color="auto"/>
            </w:tcBorders>
            <w:vAlign w:val="center"/>
          </w:tcPr>
          <w:p w14:paraId="40EC0AFB" w14:textId="161AA4F5" w:rsidR="00834FE0" w:rsidRPr="00C431A8" w:rsidRDefault="007418CD" w:rsidP="00834FE0">
            <w:pPr>
              <w:spacing w:after="0" w:line="240" w:lineRule="auto"/>
              <w:jc w:val="center"/>
              <w:rPr>
                <w:rFonts w:ascii="Times New Roman" w:eastAsia="Times New Roman" w:hAnsi="Times New Roman" w:cs="Times New Roman"/>
                <w:b/>
                <w:bCs/>
                <w:color w:val="000000"/>
                <w:kern w:val="0"/>
                <w:sz w:val="20"/>
                <w:szCs w:val="20"/>
                <w:lang w:eastAsia="lt-LT" w:bidi="ar-SA"/>
                <w14:ligatures w14:val="none"/>
              </w:rPr>
            </w:pPr>
            <w:r>
              <w:rPr>
                <w:rFonts w:ascii="Times New Roman" w:eastAsia="Times New Roman" w:hAnsi="Times New Roman" w:cs="Times New Roman"/>
                <w:b/>
                <w:bCs/>
                <w:color w:val="000000"/>
                <w:kern w:val="0"/>
                <w:sz w:val="20"/>
                <w:szCs w:val="20"/>
                <w:lang w:eastAsia="lt-LT" w:bidi="ar-SA"/>
                <w14:ligatures w14:val="none"/>
              </w:rPr>
              <w:t>4</w:t>
            </w:r>
            <w:r w:rsidR="00834FE0" w:rsidRPr="00C431A8">
              <w:rPr>
                <w:rFonts w:ascii="Times New Roman" w:eastAsia="Times New Roman" w:hAnsi="Times New Roman" w:cs="Times New Roman"/>
                <w:b/>
                <w:bCs/>
                <w:color w:val="000000"/>
                <w:kern w:val="0"/>
                <w:sz w:val="20"/>
                <w:szCs w:val="20"/>
                <w:lang w:eastAsia="lt-LT" w:bidi="ar-SA"/>
                <w14:ligatures w14:val="none"/>
              </w:rPr>
              <w:t>,</w:t>
            </w:r>
            <w:r>
              <w:rPr>
                <w:rFonts w:ascii="Times New Roman" w:eastAsia="Times New Roman" w:hAnsi="Times New Roman" w:cs="Times New Roman"/>
                <w:b/>
                <w:bCs/>
                <w:color w:val="000000"/>
                <w:kern w:val="0"/>
                <w:sz w:val="20"/>
                <w:szCs w:val="20"/>
                <w:lang w:eastAsia="lt-LT" w:bidi="ar-SA"/>
                <w14:ligatures w14:val="none"/>
              </w:rPr>
              <w:t>25</w:t>
            </w:r>
            <w:r w:rsidR="00834FE0" w:rsidRPr="00C431A8">
              <w:rPr>
                <w:rFonts w:ascii="Times New Roman" w:eastAsia="Times New Roman" w:hAnsi="Times New Roman" w:cs="Times New Roman"/>
                <w:b/>
                <w:bCs/>
                <w:color w:val="000000"/>
                <w:kern w:val="0"/>
                <w:sz w:val="20"/>
                <w:szCs w:val="20"/>
                <w:lang w:eastAsia="lt-LT" w:bidi="ar-SA"/>
                <w14:ligatures w14:val="none"/>
              </w:rPr>
              <w:t>%</w:t>
            </w:r>
          </w:p>
        </w:tc>
      </w:tr>
    </w:tbl>
    <w:p w14:paraId="2BA800F8" w14:textId="77777777" w:rsidR="00C431A8" w:rsidRDefault="00C431A8" w:rsidP="00411D72">
      <w:pPr>
        <w:jc w:val="both"/>
        <w:rPr>
          <w:rFonts w:ascii="Times New Roman" w:hAnsi="Times New Roman" w:cs="Times New Roman"/>
        </w:rPr>
      </w:pPr>
    </w:p>
    <w:sectPr w:rsidR="00C431A8" w:rsidSect="000B4A63">
      <w:headerReference w:type="default" r:id="rId6"/>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1B5A1" w14:textId="77777777" w:rsidR="00BC6884" w:rsidRDefault="00BC6884" w:rsidP="00411D72">
      <w:pPr>
        <w:spacing w:after="0" w:line="240" w:lineRule="auto"/>
      </w:pPr>
      <w:r>
        <w:separator/>
      </w:r>
    </w:p>
  </w:endnote>
  <w:endnote w:type="continuationSeparator" w:id="0">
    <w:p w14:paraId="081F582B" w14:textId="77777777" w:rsidR="00BC6884" w:rsidRDefault="00BC6884" w:rsidP="0041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E9C84" w14:textId="77777777" w:rsidR="00BC6884" w:rsidRDefault="00BC6884" w:rsidP="00411D72">
      <w:pPr>
        <w:spacing w:after="0" w:line="240" w:lineRule="auto"/>
      </w:pPr>
      <w:r>
        <w:separator/>
      </w:r>
    </w:p>
  </w:footnote>
  <w:footnote w:type="continuationSeparator" w:id="0">
    <w:p w14:paraId="3E00ED09" w14:textId="77777777" w:rsidR="00BC6884" w:rsidRDefault="00BC6884" w:rsidP="0041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EC33" w14:textId="212D5E99" w:rsidR="00411D72" w:rsidRDefault="00411D72" w:rsidP="00411D72">
    <w:pPr>
      <w:pStyle w:val="Header"/>
      <w:jc w:val="right"/>
    </w:pPr>
    <w:r>
      <w:rPr>
        <w:noProof/>
      </w:rPr>
      <w:drawing>
        <wp:inline distT="0" distB="0" distL="0" distR="0" wp14:anchorId="6492C81B" wp14:editId="6E139A4F">
          <wp:extent cx="2393950" cy="387350"/>
          <wp:effectExtent l="0" t="0" r="6350" b="0"/>
          <wp:docPr id="140639436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9436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387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A8"/>
    <w:rsid w:val="000028BD"/>
    <w:rsid w:val="00003085"/>
    <w:rsid w:val="000036E4"/>
    <w:rsid w:val="000153BC"/>
    <w:rsid w:val="000174D5"/>
    <w:rsid w:val="00022F76"/>
    <w:rsid w:val="00041097"/>
    <w:rsid w:val="000466F8"/>
    <w:rsid w:val="000472FA"/>
    <w:rsid w:val="000529FD"/>
    <w:rsid w:val="00053021"/>
    <w:rsid w:val="0005392E"/>
    <w:rsid w:val="00055747"/>
    <w:rsid w:val="000564F2"/>
    <w:rsid w:val="000612FB"/>
    <w:rsid w:val="000620B7"/>
    <w:rsid w:val="0006212B"/>
    <w:rsid w:val="00070BE2"/>
    <w:rsid w:val="000778E2"/>
    <w:rsid w:val="000821D9"/>
    <w:rsid w:val="0008433C"/>
    <w:rsid w:val="000844A3"/>
    <w:rsid w:val="00090378"/>
    <w:rsid w:val="000911CA"/>
    <w:rsid w:val="00095DA1"/>
    <w:rsid w:val="000A519D"/>
    <w:rsid w:val="000A59B2"/>
    <w:rsid w:val="000B119A"/>
    <w:rsid w:val="000B4A63"/>
    <w:rsid w:val="000B4F1A"/>
    <w:rsid w:val="000B5344"/>
    <w:rsid w:val="000B61A0"/>
    <w:rsid w:val="000C2195"/>
    <w:rsid w:val="000C6565"/>
    <w:rsid w:val="000E05F7"/>
    <w:rsid w:val="000E73D6"/>
    <w:rsid w:val="000F3456"/>
    <w:rsid w:val="00100550"/>
    <w:rsid w:val="00102414"/>
    <w:rsid w:val="00107A6A"/>
    <w:rsid w:val="00107CCA"/>
    <w:rsid w:val="00111258"/>
    <w:rsid w:val="0011493D"/>
    <w:rsid w:val="00116EE2"/>
    <w:rsid w:val="00117171"/>
    <w:rsid w:val="00117AAC"/>
    <w:rsid w:val="00120426"/>
    <w:rsid w:val="0013299C"/>
    <w:rsid w:val="00141048"/>
    <w:rsid w:val="001437AA"/>
    <w:rsid w:val="00153F97"/>
    <w:rsid w:val="00156406"/>
    <w:rsid w:val="001567CE"/>
    <w:rsid w:val="00162683"/>
    <w:rsid w:val="001664BA"/>
    <w:rsid w:val="00174723"/>
    <w:rsid w:val="001966C6"/>
    <w:rsid w:val="001A218D"/>
    <w:rsid w:val="001B4620"/>
    <w:rsid w:val="001B4722"/>
    <w:rsid w:val="001C35A0"/>
    <w:rsid w:val="001C5278"/>
    <w:rsid w:val="001E4161"/>
    <w:rsid w:val="001E721D"/>
    <w:rsid w:val="002036C8"/>
    <w:rsid w:val="0020481A"/>
    <w:rsid w:val="0020511C"/>
    <w:rsid w:val="00207C1D"/>
    <w:rsid w:val="0021361A"/>
    <w:rsid w:val="00221F14"/>
    <w:rsid w:val="00224066"/>
    <w:rsid w:val="0022462D"/>
    <w:rsid w:val="002277EA"/>
    <w:rsid w:val="002304C5"/>
    <w:rsid w:val="00234721"/>
    <w:rsid w:val="00235AFC"/>
    <w:rsid w:val="0023667B"/>
    <w:rsid w:val="0024339C"/>
    <w:rsid w:val="00257D4D"/>
    <w:rsid w:val="00260DB0"/>
    <w:rsid w:val="0026228A"/>
    <w:rsid w:val="002629E8"/>
    <w:rsid w:val="00267521"/>
    <w:rsid w:val="00270171"/>
    <w:rsid w:val="00270EA6"/>
    <w:rsid w:val="00271786"/>
    <w:rsid w:val="00274EEC"/>
    <w:rsid w:val="00280B35"/>
    <w:rsid w:val="00295DFA"/>
    <w:rsid w:val="002A1D6A"/>
    <w:rsid w:val="002B42B3"/>
    <w:rsid w:val="002B546E"/>
    <w:rsid w:val="002B7345"/>
    <w:rsid w:val="002C0B9D"/>
    <w:rsid w:val="002C7296"/>
    <w:rsid w:val="002D4302"/>
    <w:rsid w:val="002D49B3"/>
    <w:rsid w:val="002D5782"/>
    <w:rsid w:val="002D5CDC"/>
    <w:rsid w:val="002E0A90"/>
    <w:rsid w:val="002E3F88"/>
    <w:rsid w:val="002F0233"/>
    <w:rsid w:val="002F05D8"/>
    <w:rsid w:val="002F13BA"/>
    <w:rsid w:val="00310017"/>
    <w:rsid w:val="003115E0"/>
    <w:rsid w:val="00311A26"/>
    <w:rsid w:val="0031200E"/>
    <w:rsid w:val="00312846"/>
    <w:rsid w:val="00314188"/>
    <w:rsid w:val="003213BB"/>
    <w:rsid w:val="003233D2"/>
    <w:rsid w:val="00325E91"/>
    <w:rsid w:val="003263E7"/>
    <w:rsid w:val="00330FDE"/>
    <w:rsid w:val="003316FF"/>
    <w:rsid w:val="00332E93"/>
    <w:rsid w:val="003421F8"/>
    <w:rsid w:val="00345BA5"/>
    <w:rsid w:val="00351ECB"/>
    <w:rsid w:val="0035443E"/>
    <w:rsid w:val="00357349"/>
    <w:rsid w:val="00370EF8"/>
    <w:rsid w:val="00371E39"/>
    <w:rsid w:val="003725E7"/>
    <w:rsid w:val="00376D8D"/>
    <w:rsid w:val="0038540F"/>
    <w:rsid w:val="00386BFA"/>
    <w:rsid w:val="0039089C"/>
    <w:rsid w:val="003957EA"/>
    <w:rsid w:val="003974D7"/>
    <w:rsid w:val="003A64D1"/>
    <w:rsid w:val="003A66B1"/>
    <w:rsid w:val="003B15CC"/>
    <w:rsid w:val="003B3299"/>
    <w:rsid w:val="003B39A2"/>
    <w:rsid w:val="003B4B6A"/>
    <w:rsid w:val="003C33AF"/>
    <w:rsid w:val="003D44B7"/>
    <w:rsid w:val="003D494A"/>
    <w:rsid w:val="003D61CF"/>
    <w:rsid w:val="003E32FF"/>
    <w:rsid w:val="003E62E4"/>
    <w:rsid w:val="003F048F"/>
    <w:rsid w:val="003F4138"/>
    <w:rsid w:val="003F4699"/>
    <w:rsid w:val="003F6D57"/>
    <w:rsid w:val="0040048C"/>
    <w:rsid w:val="00403A13"/>
    <w:rsid w:val="00404B6D"/>
    <w:rsid w:val="004067C3"/>
    <w:rsid w:val="00406AEC"/>
    <w:rsid w:val="00407C48"/>
    <w:rsid w:val="00411D72"/>
    <w:rsid w:val="00416203"/>
    <w:rsid w:val="00416EC8"/>
    <w:rsid w:val="00423E6F"/>
    <w:rsid w:val="00427CC6"/>
    <w:rsid w:val="00432057"/>
    <w:rsid w:val="00432067"/>
    <w:rsid w:val="004365BE"/>
    <w:rsid w:val="00452FD7"/>
    <w:rsid w:val="00453053"/>
    <w:rsid w:val="004540C5"/>
    <w:rsid w:val="0046060C"/>
    <w:rsid w:val="00460ADA"/>
    <w:rsid w:val="00465063"/>
    <w:rsid w:val="004729B0"/>
    <w:rsid w:val="00474095"/>
    <w:rsid w:val="004741FB"/>
    <w:rsid w:val="0047699D"/>
    <w:rsid w:val="0048035B"/>
    <w:rsid w:val="004848CE"/>
    <w:rsid w:val="0048781F"/>
    <w:rsid w:val="00491373"/>
    <w:rsid w:val="00492096"/>
    <w:rsid w:val="00493299"/>
    <w:rsid w:val="00494EC1"/>
    <w:rsid w:val="00496FF0"/>
    <w:rsid w:val="00497E69"/>
    <w:rsid w:val="004A14A1"/>
    <w:rsid w:val="004A1FED"/>
    <w:rsid w:val="004A56B8"/>
    <w:rsid w:val="004A5ACF"/>
    <w:rsid w:val="004A63F3"/>
    <w:rsid w:val="004B1226"/>
    <w:rsid w:val="004B583E"/>
    <w:rsid w:val="004B5A6E"/>
    <w:rsid w:val="004B60CC"/>
    <w:rsid w:val="004C123A"/>
    <w:rsid w:val="004C506E"/>
    <w:rsid w:val="004C6FA5"/>
    <w:rsid w:val="004D3C2B"/>
    <w:rsid w:val="004D5CF2"/>
    <w:rsid w:val="004E033C"/>
    <w:rsid w:val="004E4CFC"/>
    <w:rsid w:val="004E5FBC"/>
    <w:rsid w:val="004E629F"/>
    <w:rsid w:val="004F0F3E"/>
    <w:rsid w:val="004F58BE"/>
    <w:rsid w:val="00500876"/>
    <w:rsid w:val="00506014"/>
    <w:rsid w:val="005069F9"/>
    <w:rsid w:val="00524AD2"/>
    <w:rsid w:val="00526554"/>
    <w:rsid w:val="005305A1"/>
    <w:rsid w:val="00534A39"/>
    <w:rsid w:val="005354DF"/>
    <w:rsid w:val="0054756A"/>
    <w:rsid w:val="0058211F"/>
    <w:rsid w:val="005838E7"/>
    <w:rsid w:val="005917B4"/>
    <w:rsid w:val="005965C2"/>
    <w:rsid w:val="005B1D5D"/>
    <w:rsid w:val="005C1504"/>
    <w:rsid w:val="005D42C5"/>
    <w:rsid w:val="005E12C5"/>
    <w:rsid w:val="005E1B6A"/>
    <w:rsid w:val="005E782D"/>
    <w:rsid w:val="005F0B2E"/>
    <w:rsid w:val="005F2D9C"/>
    <w:rsid w:val="005F5649"/>
    <w:rsid w:val="005F5E26"/>
    <w:rsid w:val="005F63DA"/>
    <w:rsid w:val="00602927"/>
    <w:rsid w:val="00606196"/>
    <w:rsid w:val="006063FD"/>
    <w:rsid w:val="00606AC8"/>
    <w:rsid w:val="00607C58"/>
    <w:rsid w:val="00610B5F"/>
    <w:rsid w:val="00615096"/>
    <w:rsid w:val="00627985"/>
    <w:rsid w:val="006357E6"/>
    <w:rsid w:val="00637C3E"/>
    <w:rsid w:val="00640B18"/>
    <w:rsid w:val="00642B92"/>
    <w:rsid w:val="00645265"/>
    <w:rsid w:val="006629FB"/>
    <w:rsid w:val="0067210F"/>
    <w:rsid w:val="00676D78"/>
    <w:rsid w:val="00681317"/>
    <w:rsid w:val="00686401"/>
    <w:rsid w:val="00691FDB"/>
    <w:rsid w:val="00692AEE"/>
    <w:rsid w:val="006A04CD"/>
    <w:rsid w:val="006A7A53"/>
    <w:rsid w:val="006C509C"/>
    <w:rsid w:val="006D1C9B"/>
    <w:rsid w:val="006D2B26"/>
    <w:rsid w:val="006D65B3"/>
    <w:rsid w:val="006F08BE"/>
    <w:rsid w:val="006F10B0"/>
    <w:rsid w:val="006F5714"/>
    <w:rsid w:val="006F6813"/>
    <w:rsid w:val="0070085C"/>
    <w:rsid w:val="007039F8"/>
    <w:rsid w:val="00704D95"/>
    <w:rsid w:val="0070709F"/>
    <w:rsid w:val="00711775"/>
    <w:rsid w:val="00713247"/>
    <w:rsid w:val="00715F17"/>
    <w:rsid w:val="00725C4C"/>
    <w:rsid w:val="00732A2D"/>
    <w:rsid w:val="007418CD"/>
    <w:rsid w:val="007547A3"/>
    <w:rsid w:val="00756449"/>
    <w:rsid w:val="00757391"/>
    <w:rsid w:val="007612D6"/>
    <w:rsid w:val="00763118"/>
    <w:rsid w:val="00776D98"/>
    <w:rsid w:val="007810CC"/>
    <w:rsid w:val="007820B4"/>
    <w:rsid w:val="00792A73"/>
    <w:rsid w:val="007A1673"/>
    <w:rsid w:val="007A3929"/>
    <w:rsid w:val="007A3F69"/>
    <w:rsid w:val="007B145D"/>
    <w:rsid w:val="007C03EB"/>
    <w:rsid w:val="007C12CB"/>
    <w:rsid w:val="007C2934"/>
    <w:rsid w:val="007C39C2"/>
    <w:rsid w:val="007C5AB4"/>
    <w:rsid w:val="007C7A8C"/>
    <w:rsid w:val="007D1720"/>
    <w:rsid w:val="007D7344"/>
    <w:rsid w:val="007E054B"/>
    <w:rsid w:val="007E4A94"/>
    <w:rsid w:val="007E61D6"/>
    <w:rsid w:val="007E648C"/>
    <w:rsid w:val="007F2CEB"/>
    <w:rsid w:val="007F4488"/>
    <w:rsid w:val="007F4EC2"/>
    <w:rsid w:val="00800611"/>
    <w:rsid w:val="0080413E"/>
    <w:rsid w:val="00810E3C"/>
    <w:rsid w:val="00811A4C"/>
    <w:rsid w:val="0082289A"/>
    <w:rsid w:val="008228F4"/>
    <w:rsid w:val="00831BE6"/>
    <w:rsid w:val="008325D3"/>
    <w:rsid w:val="00834F64"/>
    <w:rsid w:val="00834FE0"/>
    <w:rsid w:val="008356D9"/>
    <w:rsid w:val="00843789"/>
    <w:rsid w:val="00843D83"/>
    <w:rsid w:val="008500ED"/>
    <w:rsid w:val="008505DB"/>
    <w:rsid w:val="0085075E"/>
    <w:rsid w:val="00854F45"/>
    <w:rsid w:val="00855CFA"/>
    <w:rsid w:val="008651F2"/>
    <w:rsid w:val="00866D2F"/>
    <w:rsid w:val="00870B0F"/>
    <w:rsid w:val="008745BA"/>
    <w:rsid w:val="008830AD"/>
    <w:rsid w:val="008844FD"/>
    <w:rsid w:val="008846A8"/>
    <w:rsid w:val="0088486B"/>
    <w:rsid w:val="00887CCF"/>
    <w:rsid w:val="00890F2A"/>
    <w:rsid w:val="00891C78"/>
    <w:rsid w:val="00894D41"/>
    <w:rsid w:val="008A0F17"/>
    <w:rsid w:val="008A183C"/>
    <w:rsid w:val="008B0943"/>
    <w:rsid w:val="008B184B"/>
    <w:rsid w:val="008B2DF5"/>
    <w:rsid w:val="008B5CAE"/>
    <w:rsid w:val="008B697E"/>
    <w:rsid w:val="008C0FCE"/>
    <w:rsid w:val="008C13F0"/>
    <w:rsid w:val="008C198A"/>
    <w:rsid w:val="008D2490"/>
    <w:rsid w:val="008D3260"/>
    <w:rsid w:val="008E40CA"/>
    <w:rsid w:val="008E4B45"/>
    <w:rsid w:val="008E5C3A"/>
    <w:rsid w:val="008F04FF"/>
    <w:rsid w:val="008F1A35"/>
    <w:rsid w:val="008F2EAC"/>
    <w:rsid w:val="008F5301"/>
    <w:rsid w:val="008F54AA"/>
    <w:rsid w:val="00906928"/>
    <w:rsid w:val="009130DF"/>
    <w:rsid w:val="00913906"/>
    <w:rsid w:val="00922AE7"/>
    <w:rsid w:val="00933F2A"/>
    <w:rsid w:val="009355BC"/>
    <w:rsid w:val="009371BE"/>
    <w:rsid w:val="00940067"/>
    <w:rsid w:val="00944A0E"/>
    <w:rsid w:val="00944B83"/>
    <w:rsid w:val="00952A79"/>
    <w:rsid w:val="0095739D"/>
    <w:rsid w:val="00957528"/>
    <w:rsid w:val="0095768D"/>
    <w:rsid w:val="009634A0"/>
    <w:rsid w:val="009660C4"/>
    <w:rsid w:val="009661ED"/>
    <w:rsid w:val="00967380"/>
    <w:rsid w:val="00980245"/>
    <w:rsid w:val="009907B8"/>
    <w:rsid w:val="009B78AC"/>
    <w:rsid w:val="009C17A5"/>
    <w:rsid w:val="009C30B8"/>
    <w:rsid w:val="009C3D27"/>
    <w:rsid w:val="009C51AE"/>
    <w:rsid w:val="009C70F5"/>
    <w:rsid w:val="009D233B"/>
    <w:rsid w:val="009D459F"/>
    <w:rsid w:val="009D4B04"/>
    <w:rsid w:val="009F0BE0"/>
    <w:rsid w:val="009F51DB"/>
    <w:rsid w:val="009F6567"/>
    <w:rsid w:val="00A01B71"/>
    <w:rsid w:val="00A01C08"/>
    <w:rsid w:val="00A03D8E"/>
    <w:rsid w:val="00A05D47"/>
    <w:rsid w:val="00A10656"/>
    <w:rsid w:val="00A119DF"/>
    <w:rsid w:val="00A12118"/>
    <w:rsid w:val="00A172EA"/>
    <w:rsid w:val="00A21FD5"/>
    <w:rsid w:val="00A231EB"/>
    <w:rsid w:val="00A238A1"/>
    <w:rsid w:val="00A24722"/>
    <w:rsid w:val="00A24C14"/>
    <w:rsid w:val="00A35A76"/>
    <w:rsid w:val="00A41ECD"/>
    <w:rsid w:val="00A47338"/>
    <w:rsid w:val="00A53B2C"/>
    <w:rsid w:val="00A5570E"/>
    <w:rsid w:val="00A61F58"/>
    <w:rsid w:val="00A67BA6"/>
    <w:rsid w:val="00A70ED5"/>
    <w:rsid w:val="00A711A9"/>
    <w:rsid w:val="00A713BD"/>
    <w:rsid w:val="00A71E98"/>
    <w:rsid w:val="00A75FA4"/>
    <w:rsid w:val="00A774AB"/>
    <w:rsid w:val="00A801B9"/>
    <w:rsid w:val="00A842F8"/>
    <w:rsid w:val="00A84E3D"/>
    <w:rsid w:val="00A87E7D"/>
    <w:rsid w:val="00AB0DE3"/>
    <w:rsid w:val="00AB268E"/>
    <w:rsid w:val="00AB35F4"/>
    <w:rsid w:val="00AC35D6"/>
    <w:rsid w:val="00AC6F04"/>
    <w:rsid w:val="00AD08B2"/>
    <w:rsid w:val="00AD2DC3"/>
    <w:rsid w:val="00AD2E21"/>
    <w:rsid w:val="00AD3E39"/>
    <w:rsid w:val="00AD63D1"/>
    <w:rsid w:val="00AE1F2F"/>
    <w:rsid w:val="00AE7093"/>
    <w:rsid w:val="00AE7E84"/>
    <w:rsid w:val="00AF0FB4"/>
    <w:rsid w:val="00B108C7"/>
    <w:rsid w:val="00B12425"/>
    <w:rsid w:val="00B16866"/>
    <w:rsid w:val="00B272B9"/>
    <w:rsid w:val="00B27597"/>
    <w:rsid w:val="00B47357"/>
    <w:rsid w:val="00B503DA"/>
    <w:rsid w:val="00B57BD8"/>
    <w:rsid w:val="00B64B64"/>
    <w:rsid w:val="00B863C7"/>
    <w:rsid w:val="00B86563"/>
    <w:rsid w:val="00B90B3D"/>
    <w:rsid w:val="00B92A9D"/>
    <w:rsid w:val="00B965CB"/>
    <w:rsid w:val="00B97EDB"/>
    <w:rsid w:val="00BA4314"/>
    <w:rsid w:val="00BA4EFA"/>
    <w:rsid w:val="00BB22F9"/>
    <w:rsid w:val="00BB4E51"/>
    <w:rsid w:val="00BC2F5D"/>
    <w:rsid w:val="00BC35F8"/>
    <w:rsid w:val="00BC4615"/>
    <w:rsid w:val="00BC6884"/>
    <w:rsid w:val="00BD0272"/>
    <w:rsid w:val="00BD3930"/>
    <w:rsid w:val="00BD44B3"/>
    <w:rsid w:val="00BD5F8C"/>
    <w:rsid w:val="00BD6A57"/>
    <w:rsid w:val="00BE0425"/>
    <w:rsid w:val="00BF010D"/>
    <w:rsid w:val="00BF19CC"/>
    <w:rsid w:val="00BF1E2B"/>
    <w:rsid w:val="00BF2792"/>
    <w:rsid w:val="00BF2BDF"/>
    <w:rsid w:val="00BF2D0E"/>
    <w:rsid w:val="00BF4BC7"/>
    <w:rsid w:val="00BF50D4"/>
    <w:rsid w:val="00C00BEC"/>
    <w:rsid w:val="00C03469"/>
    <w:rsid w:val="00C0547E"/>
    <w:rsid w:val="00C05A44"/>
    <w:rsid w:val="00C13ED1"/>
    <w:rsid w:val="00C14A17"/>
    <w:rsid w:val="00C17653"/>
    <w:rsid w:val="00C17877"/>
    <w:rsid w:val="00C17E0D"/>
    <w:rsid w:val="00C2519D"/>
    <w:rsid w:val="00C262D5"/>
    <w:rsid w:val="00C32AE6"/>
    <w:rsid w:val="00C32B8D"/>
    <w:rsid w:val="00C33279"/>
    <w:rsid w:val="00C35A41"/>
    <w:rsid w:val="00C36E12"/>
    <w:rsid w:val="00C40F55"/>
    <w:rsid w:val="00C4250F"/>
    <w:rsid w:val="00C431A8"/>
    <w:rsid w:val="00C50B32"/>
    <w:rsid w:val="00C60452"/>
    <w:rsid w:val="00C60AB1"/>
    <w:rsid w:val="00C618F6"/>
    <w:rsid w:val="00C62833"/>
    <w:rsid w:val="00C63206"/>
    <w:rsid w:val="00C67984"/>
    <w:rsid w:val="00C74BF7"/>
    <w:rsid w:val="00C75601"/>
    <w:rsid w:val="00C75B9B"/>
    <w:rsid w:val="00C82990"/>
    <w:rsid w:val="00C82A67"/>
    <w:rsid w:val="00C86AEE"/>
    <w:rsid w:val="00C9098A"/>
    <w:rsid w:val="00CA446B"/>
    <w:rsid w:val="00CC397B"/>
    <w:rsid w:val="00CD1EA1"/>
    <w:rsid w:val="00CD49C2"/>
    <w:rsid w:val="00CD533E"/>
    <w:rsid w:val="00CE0D07"/>
    <w:rsid w:val="00CE5931"/>
    <w:rsid w:val="00CE5ABE"/>
    <w:rsid w:val="00CE72B6"/>
    <w:rsid w:val="00CF2BB6"/>
    <w:rsid w:val="00CF2EA5"/>
    <w:rsid w:val="00CF753E"/>
    <w:rsid w:val="00D008F0"/>
    <w:rsid w:val="00D07A58"/>
    <w:rsid w:val="00D116C6"/>
    <w:rsid w:val="00D13403"/>
    <w:rsid w:val="00D159A3"/>
    <w:rsid w:val="00D17F29"/>
    <w:rsid w:val="00D21E7D"/>
    <w:rsid w:val="00D26D26"/>
    <w:rsid w:val="00D275D9"/>
    <w:rsid w:val="00D31A1F"/>
    <w:rsid w:val="00D3311F"/>
    <w:rsid w:val="00D35E15"/>
    <w:rsid w:val="00D465F3"/>
    <w:rsid w:val="00D51576"/>
    <w:rsid w:val="00D51CF1"/>
    <w:rsid w:val="00D530BD"/>
    <w:rsid w:val="00D549F8"/>
    <w:rsid w:val="00D571B3"/>
    <w:rsid w:val="00D572F6"/>
    <w:rsid w:val="00D626A5"/>
    <w:rsid w:val="00D62FB9"/>
    <w:rsid w:val="00D76788"/>
    <w:rsid w:val="00D81AC2"/>
    <w:rsid w:val="00D81D03"/>
    <w:rsid w:val="00D83328"/>
    <w:rsid w:val="00D864A2"/>
    <w:rsid w:val="00D9036E"/>
    <w:rsid w:val="00D9591A"/>
    <w:rsid w:val="00D97165"/>
    <w:rsid w:val="00DA01F2"/>
    <w:rsid w:val="00DA09D1"/>
    <w:rsid w:val="00DA1564"/>
    <w:rsid w:val="00DA5345"/>
    <w:rsid w:val="00DB2C9C"/>
    <w:rsid w:val="00DB43E0"/>
    <w:rsid w:val="00DB535E"/>
    <w:rsid w:val="00DB723E"/>
    <w:rsid w:val="00DB7BAF"/>
    <w:rsid w:val="00DB7DAF"/>
    <w:rsid w:val="00DD29D3"/>
    <w:rsid w:val="00DD30F3"/>
    <w:rsid w:val="00DD3436"/>
    <w:rsid w:val="00DD68D9"/>
    <w:rsid w:val="00DD6F04"/>
    <w:rsid w:val="00DE4C61"/>
    <w:rsid w:val="00DE7737"/>
    <w:rsid w:val="00DF1D3B"/>
    <w:rsid w:val="00DF5305"/>
    <w:rsid w:val="00E00438"/>
    <w:rsid w:val="00E026CF"/>
    <w:rsid w:val="00E03EFA"/>
    <w:rsid w:val="00E11C52"/>
    <w:rsid w:val="00E13F41"/>
    <w:rsid w:val="00E14584"/>
    <w:rsid w:val="00E161FF"/>
    <w:rsid w:val="00E22E49"/>
    <w:rsid w:val="00E2676A"/>
    <w:rsid w:val="00E33229"/>
    <w:rsid w:val="00E35C71"/>
    <w:rsid w:val="00E35E54"/>
    <w:rsid w:val="00E36AF2"/>
    <w:rsid w:val="00E37764"/>
    <w:rsid w:val="00E418F2"/>
    <w:rsid w:val="00E50D74"/>
    <w:rsid w:val="00E63530"/>
    <w:rsid w:val="00E65B79"/>
    <w:rsid w:val="00E70A29"/>
    <w:rsid w:val="00E76A06"/>
    <w:rsid w:val="00E8498D"/>
    <w:rsid w:val="00E94AE9"/>
    <w:rsid w:val="00EA2753"/>
    <w:rsid w:val="00EA45FE"/>
    <w:rsid w:val="00EB7C9E"/>
    <w:rsid w:val="00EC3A2A"/>
    <w:rsid w:val="00EC5A26"/>
    <w:rsid w:val="00EC60B6"/>
    <w:rsid w:val="00EC6D22"/>
    <w:rsid w:val="00ED34AE"/>
    <w:rsid w:val="00EE438F"/>
    <w:rsid w:val="00EE4DD4"/>
    <w:rsid w:val="00EE608D"/>
    <w:rsid w:val="00EF5E55"/>
    <w:rsid w:val="00EF71EC"/>
    <w:rsid w:val="00F02DAA"/>
    <w:rsid w:val="00F03DB0"/>
    <w:rsid w:val="00F068DE"/>
    <w:rsid w:val="00F10000"/>
    <w:rsid w:val="00F111F5"/>
    <w:rsid w:val="00F13E0C"/>
    <w:rsid w:val="00F16992"/>
    <w:rsid w:val="00F23092"/>
    <w:rsid w:val="00F236C9"/>
    <w:rsid w:val="00F2426B"/>
    <w:rsid w:val="00F42DF3"/>
    <w:rsid w:val="00F435BA"/>
    <w:rsid w:val="00F44D89"/>
    <w:rsid w:val="00F45920"/>
    <w:rsid w:val="00F4685F"/>
    <w:rsid w:val="00F50270"/>
    <w:rsid w:val="00F556CB"/>
    <w:rsid w:val="00F616AD"/>
    <w:rsid w:val="00F65A11"/>
    <w:rsid w:val="00F71795"/>
    <w:rsid w:val="00F72B71"/>
    <w:rsid w:val="00F87233"/>
    <w:rsid w:val="00F91F95"/>
    <w:rsid w:val="00F9390B"/>
    <w:rsid w:val="00F9627A"/>
    <w:rsid w:val="00FA3520"/>
    <w:rsid w:val="00FB0596"/>
    <w:rsid w:val="00FB2802"/>
    <w:rsid w:val="00FB376E"/>
    <w:rsid w:val="00FB6752"/>
    <w:rsid w:val="00FB6C19"/>
    <w:rsid w:val="00FB6FB7"/>
    <w:rsid w:val="00FC0EB6"/>
    <w:rsid w:val="00FC1108"/>
    <w:rsid w:val="00FC3215"/>
    <w:rsid w:val="00FC525D"/>
    <w:rsid w:val="00FD41F1"/>
    <w:rsid w:val="00FD5004"/>
    <w:rsid w:val="00FE084C"/>
    <w:rsid w:val="00FE2B5F"/>
    <w:rsid w:val="00FF019F"/>
    <w:rsid w:val="00FF3B9C"/>
    <w:rsid w:val="00FF754B"/>
    <w:rsid w:val="02AE8579"/>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08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6A8"/>
    <w:rPr>
      <w:rFonts w:eastAsiaTheme="majorEastAsia" w:cstheme="majorBidi"/>
      <w:color w:val="272727" w:themeColor="text1" w:themeTint="D8"/>
    </w:rPr>
  </w:style>
  <w:style w:type="paragraph" w:styleId="Title">
    <w:name w:val="Title"/>
    <w:basedOn w:val="Normal"/>
    <w:next w:val="Normal"/>
    <w:link w:val="TitleChar"/>
    <w:uiPriority w:val="10"/>
    <w:qFormat/>
    <w:rsid w:val="00884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6A8"/>
    <w:pPr>
      <w:spacing w:before="160"/>
      <w:jc w:val="center"/>
    </w:pPr>
    <w:rPr>
      <w:i/>
      <w:iCs/>
      <w:color w:val="404040" w:themeColor="text1" w:themeTint="BF"/>
    </w:rPr>
  </w:style>
  <w:style w:type="character" w:customStyle="1" w:styleId="QuoteChar">
    <w:name w:val="Quote Char"/>
    <w:basedOn w:val="DefaultParagraphFont"/>
    <w:link w:val="Quote"/>
    <w:uiPriority w:val="29"/>
    <w:rsid w:val="008846A8"/>
    <w:rPr>
      <w:i/>
      <w:iCs/>
      <w:color w:val="404040" w:themeColor="text1" w:themeTint="BF"/>
    </w:rPr>
  </w:style>
  <w:style w:type="paragraph" w:styleId="ListParagraph">
    <w:name w:val="List Paragraph"/>
    <w:basedOn w:val="Normal"/>
    <w:uiPriority w:val="34"/>
    <w:qFormat/>
    <w:rsid w:val="008846A8"/>
    <w:pPr>
      <w:ind w:left="720"/>
      <w:contextualSpacing/>
    </w:pPr>
  </w:style>
  <w:style w:type="character" w:styleId="IntenseEmphasis">
    <w:name w:val="Intense Emphasis"/>
    <w:basedOn w:val="DefaultParagraphFont"/>
    <w:uiPriority w:val="21"/>
    <w:qFormat/>
    <w:rsid w:val="008846A8"/>
    <w:rPr>
      <w:i/>
      <w:iCs/>
      <w:color w:val="0F4761" w:themeColor="accent1" w:themeShade="BF"/>
    </w:rPr>
  </w:style>
  <w:style w:type="paragraph" w:styleId="IntenseQuote">
    <w:name w:val="Intense Quote"/>
    <w:basedOn w:val="Normal"/>
    <w:next w:val="Normal"/>
    <w:link w:val="IntenseQuoteChar"/>
    <w:uiPriority w:val="30"/>
    <w:qFormat/>
    <w:rsid w:val="00884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6A8"/>
    <w:rPr>
      <w:i/>
      <w:iCs/>
      <w:color w:val="0F4761" w:themeColor="accent1" w:themeShade="BF"/>
    </w:rPr>
  </w:style>
  <w:style w:type="character" w:styleId="IntenseReference">
    <w:name w:val="Intense Reference"/>
    <w:basedOn w:val="DefaultParagraphFont"/>
    <w:uiPriority w:val="32"/>
    <w:qFormat/>
    <w:rsid w:val="008846A8"/>
    <w:rPr>
      <w:b/>
      <w:bCs/>
      <w:smallCaps/>
      <w:color w:val="0F4761" w:themeColor="accent1" w:themeShade="BF"/>
      <w:spacing w:val="5"/>
    </w:rPr>
  </w:style>
  <w:style w:type="paragraph" w:styleId="Header">
    <w:name w:val="header"/>
    <w:basedOn w:val="Normal"/>
    <w:link w:val="HeaderChar"/>
    <w:uiPriority w:val="99"/>
    <w:unhideWhenUsed/>
    <w:rsid w:val="00411D72"/>
    <w:pPr>
      <w:tabs>
        <w:tab w:val="center" w:pos="4819"/>
        <w:tab w:val="right" w:pos="9638"/>
      </w:tabs>
      <w:spacing w:after="0" w:line="240" w:lineRule="auto"/>
    </w:pPr>
  </w:style>
  <w:style w:type="character" w:customStyle="1" w:styleId="HeaderChar">
    <w:name w:val="Header Char"/>
    <w:basedOn w:val="DefaultParagraphFont"/>
    <w:link w:val="Header"/>
    <w:uiPriority w:val="99"/>
    <w:rsid w:val="00411D72"/>
  </w:style>
  <w:style w:type="paragraph" w:styleId="Footer">
    <w:name w:val="footer"/>
    <w:basedOn w:val="Normal"/>
    <w:link w:val="FooterChar"/>
    <w:uiPriority w:val="99"/>
    <w:unhideWhenUsed/>
    <w:rsid w:val="00411D72"/>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1D72"/>
  </w:style>
  <w:style w:type="paragraph" w:styleId="Revision">
    <w:name w:val="Revision"/>
    <w:hidden/>
    <w:uiPriority w:val="99"/>
    <w:semiHidden/>
    <w:rsid w:val="006357E6"/>
    <w:pPr>
      <w:spacing w:after="0" w:line="240" w:lineRule="auto"/>
    </w:pPr>
  </w:style>
  <w:style w:type="character" w:styleId="CommentReference">
    <w:name w:val="annotation reference"/>
    <w:basedOn w:val="DefaultParagraphFont"/>
    <w:uiPriority w:val="99"/>
    <w:semiHidden/>
    <w:unhideWhenUsed/>
    <w:rsid w:val="006357E6"/>
    <w:rPr>
      <w:sz w:val="16"/>
      <w:szCs w:val="16"/>
    </w:rPr>
  </w:style>
  <w:style w:type="paragraph" w:styleId="CommentText">
    <w:name w:val="annotation text"/>
    <w:basedOn w:val="Normal"/>
    <w:link w:val="CommentTextChar"/>
    <w:uiPriority w:val="99"/>
    <w:unhideWhenUsed/>
    <w:rsid w:val="006357E6"/>
    <w:pPr>
      <w:spacing w:line="240" w:lineRule="auto"/>
    </w:pPr>
    <w:rPr>
      <w:sz w:val="20"/>
      <w:szCs w:val="20"/>
    </w:rPr>
  </w:style>
  <w:style w:type="character" w:customStyle="1" w:styleId="CommentTextChar">
    <w:name w:val="Comment Text Char"/>
    <w:basedOn w:val="DefaultParagraphFont"/>
    <w:link w:val="CommentText"/>
    <w:uiPriority w:val="99"/>
    <w:rsid w:val="006357E6"/>
    <w:rPr>
      <w:sz w:val="20"/>
      <w:szCs w:val="20"/>
    </w:rPr>
  </w:style>
  <w:style w:type="paragraph" w:styleId="CommentSubject">
    <w:name w:val="annotation subject"/>
    <w:basedOn w:val="CommentText"/>
    <w:next w:val="CommentText"/>
    <w:link w:val="CommentSubjectChar"/>
    <w:uiPriority w:val="99"/>
    <w:semiHidden/>
    <w:unhideWhenUsed/>
    <w:rsid w:val="006357E6"/>
    <w:rPr>
      <w:b/>
      <w:bCs/>
    </w:rPr>
  </w:style>
  <w:style w:type="character" w:customStyle="1" w:styleId="CommentSubjectChar">
    <w:name w:val="Comment Subject Char"/>
    <w:basedOn w:val="CommentTextChar"/>
    <w:link w:val="CommentSubject"/>
    <w:uiPriority w:val="99"/>
    <w:semiHidden/>
    <w:rsid w:val="006357E6"/>
    <w:rPr>
      <w:b/>
      <w:bCs/>
      <w:sz w:val="20"/>
      <w:szCs w:val="20"/>
    </w:rPr>
  </w:style>
  <w:style w:type="character" w:styleId="Hyperlink">
    <w:name w:val="Hyperlink"/>
    <w:basedOn w:val="DefaultParagraphFont"/>
    <w:uiPriority w:val="99"/>
    <w:unhideWhenUsed/>
    <w:rsid w:val="00A172EA"/>
    <w:rPr>
      <w:color w:val="467886" w:themeColor="hyperlink"/>
      <w:u w:val="single"/>
    </w:rPr>
  </w:style>
  <w:style w:type="character" w:styleId="UnresolvedMention">
    <w:name w:val="Unresolved Mention"/>
    <w:basedOn w:val="DefaultParagraphFont"/>
    <w:uiPriority w:val="99"/>
    <w:semiHidden/>
    <w:unhideWhenUsed/>
    <w:rsid w:val="00A17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2056">
      <w:bodyDiv w:val="1"/>
      <w:marLeft w:val="0"/>
      <w:marRight w:val="0"/>
      <w:marTop w:val="0"/>
      <w:marBottom w:val="0"/>
      <w:divBdr>
        <w:top w:val="none" w:sz="0" w:space="0" w:color="auto"/>
        <w:left w:val="none" w:sz="0" w:space="0" w:color="auto"/>
        <w:bottom w:val="none" w:sz="0" w:space="0" w:color="auto"/>
        <w:right w:val="none" w:sz="0" w:space="0" w:color="auto"/>
      </w:divBdr>
    </w:div>
    <w:div w:id="535242327">
      <w:bodyDiv w:val="1"/>
      <w:marLeft w:val="0"/>
      <w:marRight w:val="0"/>
      <w:marTop w:val="0"/>
      <w:marBottom w:val="0"/>
      <w:divBdr>
        <w:top w:val="none" w:sz="0" w:space="0" w:color="auto"/>
        <w:left w:val="none" w:sz="0" w:space="0" w:color="auto"/>
        <w:bottom w:val="none" w:sz="0" w:space="0" w:color="auto"/>
        <w:right w:val="none" w:sz="0" w:space="0" w:color="auto"/>
      </w:divBdr>
    </w:div>
    <w:div w:id="859322556">
      <w:bodyDiv w:val="1"/>
      <w:marLeft w:val="0"/>
      <w:marRight w:val="0"/>
      <w:marTop w:val="0"/>
      <w:marBottom w:val="0"/>
      <w:divBdr>
        <w:top w:val="none" w:sz="0" w:space="0" w:color="auto"/>
        <w:left w:val="none" w:sz="0" w:space="0" w:color="auto"/>
        <w:bottom w:val="none" w:sz="0" w:space="0" w:color="auto"/>
        <w:right w:val="none" w:sz="0" w:space="0" w:color="auto"/>
      </w:divBdr>
    </w:div>
    <w:div w:id="1430083651">
      <w:bodyDiv w:val="1"/>
      <w:marLeft w:val="0"/>
      <w:marRight w:val="0"/>
      <w:marTop w:val="0"/>
      <w:marBottom w:val="0"/>
      <w:divBdr>
        <w:top w:val="none" w:sz="0" w:space="0" w:color="auto"/>
        <w:left w:val="none" w:sz="0" w:space="0" w:color="auto"/>
        <w:bottom w:val="none" w:sz="0" w:space="0" w:color="auto"/>
        <w:right w:val="none" w:sz="0" w:space="0" w:color="auto"/>
      </w:divBdr>
    </w:div>
    <w:div w:id="1986818287">
      <w:bodyDiv w:val="1"/>
      <w:marLeft w:val="0"/>
      <w:marRight w:val="0"/>
      <w:marTop w:val="0"/>
      <w:marBottom w:val="0"/>
      <w:divBdr>
        <w:top w:val="none" w:sz="0" w:space="0" w:color="auto"/>
        <w:left w:val="none" w:sz="0" w:space="0" w:color="auto"/>
        <w:bottom w:val="none" w:sz="0" w:space="0" w:color="auto"/>
        <w:right w:val="none" w:sz="0" w:space="0" w:color="auto"/>
      </w:divBdr>
    </w:div>
    <w:div w:id="2060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3980</Words>
  <Characters>2269</Characters>
  <Application>Microsoft Office Word</Application>
  <DocSecurity>0</DocSecurity>
  <Lines>18</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2025-07-08T06:22:00Z</dcterms:created>
  <dcterms:modified xsi:type="dcterms:W3CDTF">2025-07-08T06:22:00Z</dcterms:modified>
</cp:coreProperties>
</file>