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5E942" w14:textId="77777777" w:rsidR="00F07D1E" w:rsidRPr="00136669" w:rsidRDefault="00F07D1E" w:rsidP="00F07D1E">
      <w:pPr>
        <w:spacing w:after="0" w:line="240" w:lineRule="auto"/>
        <w:jc w:val="both"/>
        <w:rPr>
          <w:rFonts w:ascii="Times New Roman" w:eastAsia="Aptos" w:hAnsi="Times New Roman" w:cs="Times New Roman"/>
          <w:kern w:val="0"/>
          <w:lang w:val="fi-FI"/>
          <w14:ligatures w14:val="none"/>
        </w:rPr>
      </w:pPr>
      <w:r w:rsidRPr="00B00E6B">
        <w:rPr>
          <w:rFonts w:ascii="Times New Roman" w:eastAsia="Aptos" w:hAnsi="Times New Roman" w:cs="Times New Roman"/>
          <w:kern w:val="0"/>
          <w14:ligatures w14:val="none"/>
        </w:rPr>
        <w:t>Pranešimas</w:t>
      </w:r>
      <w:r w:rsidRPr="00136669">
        <w:rPr>
          <w:rFonts w:ascii="Times New Roman" w:eastAsia="Aptos" w:hAnsi="Times New Roman" w:cs="Times New Roman"/>
          <w:kern w:val="0"/>
          <w:lang w:val="fi-FI"/>
          <w14:ligatures w14:val="none"/>
        </w:rPr>
        <w:t xml:space="preserve"> </w:t>
      </w:r>
      <w:r>
        <w:rPr>
          <w:rFonts w:ascii="Times New Roman" w:eastAsia="Aptos" w:hAnsi="Times New Roman" w:cs="Times New Roman"/>
          <w:kern w:val="0"/>
          <w14:ligatures w14:val="none"/>
        </w:rPr>
        <w:t>spaudai</w:t>
      </w:r>
    </w:p>
    <w:p w14:paraId="24323C74" w14:textId="070CA68F" w:rsidR="00F07D1E" w:rsidRPr="00136669" w:rsidRDefault="00F07D1E" w:rsidP="00F07D1E">
      <w:pPr>
        <w:spacing w:after="0" w:line="240" w:lineRule="auto"/>
        <w:jc w:val="both"/>
        <w:rPr>
          <w:rFonts w:ascii="Times New Roman" w:eastAsia="Aptos" w:hAnsi="Times New Roman" w:cs="Times New Roman"/>
          <w:kern w:val="0"/>
          <w14:ligatures w14:val="none"/>
        </w:rPr>
      </w:pPr>
      <w:proofErr w:type="gramStart"/>
      <w:r w:rsidRPr="00136669">
        <w:rPr>
          <w:rFonts w:ascii="Times New Roman" w:eastAsia="Aptos" w:hAnsi="Times New Roman" w:cs="Times New Roman"/>
          <w:kern w:val="0"/>
          <w:lang w:val="fi-FI"/>
          <w14:ligatures w14:val="none"/>
        </w:rPr>
        <w:t>2025 m.</w:t>
      </w:r>
      <w:proofErr w:type="gramEnd"/>
      <w:r w:rsidRPr="00136669">
        <w:rPr>
          <w:rFonts w:ascii="Times New Roman" w:eastAsia="Aptos" w:hAnsi="Times New Roman" w:cs="Times New Roman"/>
          <w:kern w:val="0"/>
          <w:lang w:val="fi-FI"/>
          <w14:ligatures w14:val="none"/>
        </w:rPr>
        <w:t xml:space="preserve"> </w:t>
      </w:r>
      <w:r>
        <w:rPr>
          <w:rFonts w:ascii="Times New Roman" w:eastAsia="Aptos" w:hAnsi="Times New Roman" w:cs="Times New Roman"/>
          <w:kern w:val="0"/>
          <w14:ligatures w14:val="none"/>
        </w:rPr>
        <w:t>liepos</w:t>
      </w:r>
      <w:r w:rsidRPr="00136669">
        <w:rPr>
          <w:rFonts w:ascii="Times New Roman" w:eastAsia="Aptos" w:hAnsi="Times New Roman" w:cs="Times New Roman"/>
          <w:kern w:val="0"/>
          <w14:ligatures w14:val="none"/>
        </w:rPr>
        <w:t xml:space="preserve"> </w:t>
      </w:r>
      <w:r w:rsidR="003931F1">
        <w:rPr>
          <w:rFonts w:ascii="Times New Roman" w:eastAsia="Aptos" w:hAnsi="Times New Roman" w:cs="Times New Roman"/>
          <w:kern w:val="0"/>
          <w14:ligatures w14:val="none"/>
        </w:rPr>
        <w:t>1</w:t>
      </w:r>
      <w:r w:rsidR="00823FB8">
        <w:rPr>
          <w:rFonts w:ascii="Times New Roman" w:eastAsia="Aptos" w:hAnsi="Times New Roman" w:cs="Times New Roman"/>
          <w:kern w:val="0"/>
          <w14:ligatures w14:val="none"/>
        </w:rPr>
        <w:t>1</w:t>
      </w:r>
      <w:r w:rsidRPr="00136669">
        <w:rPr>
          <w:rFonts w:ascii="Times New Roman" w:eastAsia="Aptos" w:hAnsi="Times New Roman" w:cs="Times New Roman"/>
          <w:kern w:val="0"/>
          <w14:ligatures w14:val="none"/>
        </w:rPr>
        <w:t xml:space="preserve"> d.</w:t>
      </w:r>
    </w:p>
    <w:p w14:paraId="2B0FD833" w14:textId="77777777" w:rsidR="00F07D1E" w:rsidRDefault="00F07D1E" w:rsidP="001B4E6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822A53" w14:textId="6603FFA4" w:rsidR="00DB3653" w:rsidRPr="00F07D1E" w:rsidRDefault="00DB3653" w:rsidP="001B4E6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7D1E">
        <w:rPr>
          <w:rFonts w:ascii="Times New Roman" w:hAnsi="Times New Roman" w:cs="Times New Roman"/>
          <w:b/>
          <w:bCs/>
          <w:sz w:val="28"/>
          <w:szCs w:val="28"/>
        </w:rPr>
        <w:t>Lietuvos pensijų fondų grąža –</w:t>
      </w:r>
      <w:r w:rsidR="00400FFD" w:rsidRPr="00F07D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7D1E">
        <w:rPr>
          <w:rFonts w:ascii="Times New Roman" w:hAnsi="Times New Roman" w:cs="Times New Roman"/>
          <w:b/>
          <w:bCs/>
          <w:sz w:val="28"/>
          <w:szCs w:val="28"/>
        </w:rPr>
        <w:t xml:space="preserve">geriausių </w:t>
      </w:r>
      <w:r w:rsidR="00400FFD" w:rsidRPr="00F07D1E">
        <w:rPr>
          <w:rFonts w:ascii="Times New Roman" w:hAnsi="Times New Roman" w:cs="Times New Roman"/>
          <w:b/>
          <w:bCs/>
          <w:sz w:val="28"/>
          <w:szCs w:val="28"/>
        </w:rPr>
        <w:t xml:space="preserve">EBPO </w:t>
      </w:r>
      <w:r w:rsidRPr="00F07D1E">
        <w:rPr>
          <w:rFonts w:ascii="Times New Roman" w:hAnsi="Times New Roman" w:cs="Times New Roman"/>
          <w:b/>
          <w:bCs/>
          <w:sz w:val="28"/>
          <w:szCs w:val="28"/>
        </w:rPr>
        <w:t>šalių</w:t>
      </w:r>
      <w:r w:rsidR="00400FFD" w:rsidRPr="00F07D1E">
        <w:rPr>
          <w:rFonts w:ascii="Times New Roman" w:hAnsi="Times New Roman" w:cs="Times New Roman"/>
          <w:b/>
          <w:bCs/>
          <w:sz w:val="28"/>
          <w:szCs w:val="28"/>
        </w:rPr>
        <w:t xml:space="preserve"> trejetuke </w:t>
      </w:r>
    </w:p>
    <w:p w14:paraId="53DA3A8A" w14:textId="2623F450" w:rsidR="00185D8B" w:rsidRPr="001B4E6B" w:rsidRDefault="00185D8B" w:rsidP="001B4E6B">
      <w:pPr>
        <w:jc w:val="both"/>
        <w:rPr>
          <w:rFonts w:ascii="Times New Roman" w:hAnsi="Times New Roman" w:cs="Times New Roman"/>
          <w:b/>
          <w:bCs/>
        </w:rPr>
      </w:pPr>
      <w:r w:rsidRPr="001B4E6B">
        <w:rPr>
          <w:rFonts w:ascii="Times New Roman" w:hAnsi="Times New Roman" w:cs="Times New Roman"/>
          <w:b/>
          <w:bCs/>
        </w:rPr>
        <w:t xml:space="preserve">38 šalis vienijanti Ekonominio bendradarbiavimo ir plėtros organizacija (EBPO) paskelbė preliminarią 2024 m. pensijų fondų veiklos ataskaitą. </w:t>
      </w:r>
      <w:r w:rsidR="000D1FD6" w:rsidRPr="001B4E6B">
        <w:rPr>
          <w:rFonts w:ascii="Times New Roman" w:hAnsi="Times New Roman" w:cs="Times New Roman"/>
          <w:b/>
          <w:bCs/>
        </w:rPr>
        <w:t>Lietuv</w:t>
      </w:r>
      <w:r w:rsidR="00F965A2" w:rsidRPr="001B4E6B">
        <w:rPr>
          <w:rFonts w:ascii="Times New Roman" w:hAnsi="Times New Roman" w:cs="Times New Roman"/>
          <w:b/>
          <w:bCs/>
        </w:rPr>
        <w:t>a</w:t>
      </w:r>
      <w:r w:rsidR="000D1FD6" w:rsidRPr="001B4E6B">
        <w:rPr>
          <w:rFonts w:ascii="Times New Roman" w:hAnsi="Times New Roman" w:cs="Times New Roman"/>
          <w:b/>
          <w:bCs/>
        </w:rPr>
        <w:t xml:space="preserve"> pernai pademonstravo </w:t>
      </w:r>
      <w:r w:rsidR="000F316D" w:rsidRPr="001B4E6B">
        <w:rPr>
          <w:rFonts w:ascii="Times New Roman" w:hAnsi="Times New Roman" w:cs="Times New Roman"/>
          <w:b/>
          <w:bCs/>
        </w:rPr>
        <w:t xml:space="preserve">trečią geriausią rezultatą iš visų EBPO valstybių – </w:t>
      </w:r>
      <w:r w:rsidR="00F965A2" w:rsidRPr="001B4E6B">
        <w:rPr>
          <w:rFonts w:ascii="Times New Roman" w:hAnsi="Times New Roman" w:cs="Times New Roman"/>
          <w:b/>
          <w:bCs/>
        </w:rPr>
        <w:t>mūsų šalies</w:t>
      </w:r>
      <w:r w:rsidR="00D821C9">
        <w:rPr>
          <w:rFonts w:ascii="Times New Roman" w:hAnsi="Times New Roman" w:cs="Times New Roman"/>
          <w:b/>
          <w:bCs/>
        </w:rPr>
        <w:t xml:space="preserve"> II ir III pakopos</w:t>
      </w:r>
      <w:r w:rsidR="00F965A2" w:rsidRPr="001B4E6B">
        <w:rPr>
          <w:rFonts w:ascii="Times New Roman" w:hAnsi="Times New Roman" w:cs="Times New Roman"/>
          <w:b/>
          <w:bCs/>
        </w:rPr>
        <w:t xml:space="preserve"> pensijų fondų </w:t>
      </w:r>
      <w:r w:rsidR="00C64AC6">
        <w:rPr>
          <w:rFonts w:ascii="Times New Roman" w:hAnsi="Times New Roman" w:cs="Times New Roman"/>
          <w:b/>
          <w:bCs/>
        </w:rPr>
        <w:t xml:space="preserve">reali </w:t>
      </w:r>
      <w:r w:rsidR="00711DD9" w:rsidRPr="001B4E6B">
        <w:rPr>
          <w:rFonts w:ascii="Times New Roman" w:hAnsi="Times New Roman" w:cs="Times New Roman"/>
          <w:b/>
          <w:bCs/>
        </w:rPr>
        <w:t xml:space="preserve">investicinė </w:t>
      </w:r>
      <w:r w:rsidR="00FE6F50" w:rsidRPr="001B4E6B">
        <w:rPr>
          <w:rFonts w:ascii="Times New Roman" w:hAnsi="Times New Roman" w:cs="Times New Roman"/>
          <w:b/>
          <w:bCs/>
        </w:rPr>
        <w:t xml:space="preserve">grąža </w:t>
      </w:r>
      <w:r w:rsidR="00C64AC6">
        <w:rPr>
          <w:rFonts w:ascii="Times New Roman" w:hAnsi="Times New Roman" w:cs="Times New Roman"/>
          <w:b/>
          <w:bCs/>
        </w:rPr>
        <w:t xml:space="preserve">po infliacijos </w:t>
      </w:r>
      <w:r w:rsidR="00FE6F50" w:rsidRPr="001B4E6B">
        <w:rPr>
          <w:rFonts w:ascii="Times New Roman" w:hAnsi="Times New Roman" w:cs="Times New Roman"/>
          <w:b/>
          <w:bCs/>
        </w:rPr>
        <w:t xml:space="preserve">2024-aisiais siekė </w:t>
      </w:r>
      <w:r w:rsidR="00711DD9" w:rsidRPr="001B4E6B">
        <w:rPr>
          <w:rFonts w:ascii="Times New Roman" w:hAnsi="Times New Roman" w:cs="Times New Roman"/>
          <w:b/>
          <w:bCs/>
        </w:rPr>
        <w:t xml:space="preserve">10,8 proc. </w:t>
      </w:r>
    </w:p>
    <w:p w14:paraId="227B6948" w14:textId="69E6E4C6" w:rsidR="00DB3653" w:rsidRPr="001B4E6B" w:rsidRDefault="00AF428E" w:rsidP="001B4E6B">
      <w:pPr>
        <w:jc w:val="both"/>
        <w:rPr>
          <w:rFonts w:ascii="Times New Roman" w:hAnsi="Times New Roman" w:cs="Times New Roman"/>
        </w:rPr>
      </w:pPr>
      <w:r w:rsidRPr="001B4E6B">
        <w:rPr>
          <w:rFonts w:ascii="Times New Roman" w:hAnsi="Times New Roman" w:cs="Times New Roman"/>
        </w:rPr>
        <w:t>„</w:t>
      </w:r>
      <w:r w:rsidR="00963520" w:rsidRPr="001B4E6B">
        <w:rPr>
          <w:rFonts w:ascii="Times New Roman" w:hAnsi="Times New Roman" w:cs="Times New Roman"/>
        </w:rPr>
        <w:t xml:space="preserve">Rezultatas tikrai puikus – aplenktos tokios valstybės kaip </w:t>
      </w:r>
      <w:r w:rsidR="00EE1491" w:rsidRPr="001B4E6B">
        <w:rPr>
          <w:rFonts w:ascii="Times New Roman" w:hAnsi="Times New Roman" w:cs="Times New Roman"/>
        </w:rPr>
        <w:t>Suomija, Islandija</w:t>
      </w:r>
      <w:r w:rsidR="00CB1094" w:rsidRPr="001B4E6B">
        <w:rPr>
          <w:rFonts w:ascii="Times New Roman" w:hAnsi="Times New Roman" w:cs="Times New Roman"/>
        </w:rPr>
        <w:t xml:space="preserve"> ar </w:t>
      </w:r>
      <w:r w:rsidR="00D821C9">
        <w:rPr>
          <w:rFonts w:ascii="Times New Roman" w:hAnsi="Times New Roman" w:cs="Times New Roman"/>
        </w:rPr>
        <w:t>Danija</w:t>
      </w:r>
      <w:r w:rsidR="00CB1094" w:rsidRPr="001B4E6B">
        <w:rPr>
          <w:rFonts w:ascii="Times New Roman" w:hAnsi="Times New Roman" w:cs="Times New Roman"/>
        </w:rPr>
        <w:t xml:space="preserve">, kuriose pensijų fondai veikia kur kas seniau </w:t>
      </w:r>
      <w:r w:rsidR="0091247B" w:rsidRPr="001B4E6B">
        <w:rPr>
          <w:rFonts w:ascii="Times New Roman" w:hAnsi="Times New Roman" w:cs="Times New Roman"/>
        </w:rPr>
        <w:t>bei</w:t>
      </w:r>
      <w:r w:rsidR="00CB1094" w:rsidRPr="001B4E6B">
        <w:rPr>
          <w:rFonts w:ascii="Times New Roman" w:hAnsi="Times New Roman" w:cs="Times New Roman"/>
        </w:rPr>
        <w:t xml:space="preserve"> turi </w:t>
      </w:r>
      <w:r w:rsidR="0091247B" w:rsidRPr="001B4E6B">
        <w:rPr>
          <w:rFonts w:ascii="Times New Roman" w:hAnsi="Times New Roman" w:cs="Times New Roman"/>
        </w:rPr>
        <w:t xml:space="preserve">ir </w:t>
      </w:r>
      <w:r w:rsidR="00CB1094" w:rsidRPr="001B4E6B">
        <w:rPr>
          <w:rFonts w:ascii="Times New Roman" w:hAnsi="Times New Roman" w:cs="Times New Roman"/>
        </w:rPr>
        <w:t xml:space="preserve">daugiau patirties, </w:t>
      </w:r>
      <w:r w:rsidR="0091247B" w:rsidRPr="001B4E6B">
        <w:rPr>
          <w:rFonts w:ascii="Times New Roman" w:hAnsi="Times New Roman" w:cs="Times New Roman"/>
        </w:rPr>
        <w:t xml:space="preserve">ir </w:t>
      </w:r>
      <w:r w:rsidR="00076AD4" w:rsidRPr="001B4E6B">
        <w:rPr>
          <w:rFonts w:ascii="Times New Roman" w:hAnsi="Times New Roman" w:cs="Times New Roman"/>
        </w:rPr>
        <w:t xml:space="preserve">istoriškai demonstruoja gerus rezultatus. Žinoma, šiek tiek apmaudu, kad </w:t>
      </w:r>
      <w:r w:rsidR="005C6F32" w:rsidRPr="001B4E6B">
        <w:rPr>
          <w:rFonts w:ascii="Times New Roman" w:hAnsi="Times New Roman" w:cs="Times New Roman"/>
        </w:rPr>
        <w:t xml:space="preserve">Lietuvą </w:t>
      </w:r>
      <w:r w:rsidR="00076AD4" w:rsidRPr="001B4E6B">
        <w:rPr>
          <w:rFonts w:ascii="Times New Roman" w:hAnsi="Times New Roman" w:cs="Times New Roman"/>
        </w:rPr>
        <w:t>ir vėl aplenkė</w:t>
      </w:r>
      <w:r w:rsidR="00655E93" w:rsidRPr="001B4E6B">
        <w:rPr>
          <w:rFonts w:ascii="Times New Roman" w:hAnsi="Times New Roman" w:cs="Times New Roman"/>
        </w:rPr>
        <w:t xml:space="preserve"> </w:t>
      </w:r>
      <w:r w:rsidR="005C6F32" w:rsidRPr="001B4E6B">
        <w:rPr>
          <w:rFonts w:ascii="Times New Roman" w:hAnsi="Times New Roman" w:cs="Times New Roman"/>
        </w:rPr>
        <w:t>Estija</w:t>
      </w:r>
      <w:r w:rsidR="00076AD4" w:rsidRPr="001B4E6B">
        <w:rPr>
          <w:rFonts w:ascii="Times New Roman" w:hAnsi="Times New Roman" w:cs="Times New Roman"/>
        </w:rPr>
        <w:t xml:space="preserve">“, – </w:t>
      </w:r>
      <w:r w:rsidR="00A25AAB" w:rsidRPr="001B4E6B">
        <w:rPr>
          <w:rFonts w:ascii="Times New Roman" w:hAnsi="Times New Roman" w:cs="Times New Roman"/>
        </w:rPr>
        <w:t xml:space="preserve">šypsosi </w:t>
      </w:r>
      <w:r w:rsidR="00655E93" w:rsidRPr="001B4E6B">
        <w:rPr>
          <w:rFonts w:ascii="Times New Roman" w:hAnsi="Times New Roman" w:cs="Times New Roman"/>
        </w:rPr>
        <w:t>Lietuvos investicinių ir pensijų fondų asociacij</w:t>
      </w:r>
      <w:r w:rsidR="003375F2" w:rsidRPr="001B4E6B">
        <w:rPr>
          <w:rFonts w:ascii="Times New Roman" w:hAnsi="Times New Roman" w:cs="Times New Roman"/>
        </w:rPr>
        <w:t>os</w:t>
      </w:r>
      <w:r w:rsidR="00655E93" w:rsidRPr="001B4E6B">
        <w:rPr>
          <w:rFonts w:ascii="Times New Roman" w:hAnsi="Times New Roman" w:cs="Times New Roman"/>
        </w:rPr>
        <w:t xml:space="preserve"> (LIPFA) </w:t>
      </w:r>
      <w:r w:rsidR="00BD0BB3" w:rsidRPr="001B4E6B">
        <w:rPr>
          <w:rFonts w:ascii="Times New Roman" w:hAnsi="Times New Roman" w:cs="Times New Roman"/>
        </w:rPr>
        <w:t>valdybos narys Vaidotas Rūkas</w:t>
      </w:r>
      <w:r w:rsidR="00A22553" w:rsidRPr="001B4E6B">
        <w:rPr>
          <w:rFonts w:ascii="Times New Roman" w:hAnsi="Times New Roman" w:cs="Times New Roman"/>
        </w:rPr>
        <w:t xml:space="preserve">. </w:t>
      </w:r>
    </w:p>
    <w:p w14:paraId="32F55ACD" w14:textId="452CD8B2" w:rsidR="003E3169" w:rsidRPr="001B4E6B" w:rsidRDefault="00886A22" w:rsidP="001B4E6B">
      <w:pPr>
        <w:jc w:val="both"/>
        <w:rPr>
          <w:rFonts w:ascii="Times New Roman" w:hAnsi="Times New Roman" w:cs="Times New Roman"/>
        </w:rPr>
      </w:pPr>
      <w:r w:rsidRPr="001B4E6B">
        <w:rPr>
          <w:rFonts w:ascii="Times New Roman" w:hAnsi="Times New Roman" w:cs="Times New Roman"/>
        </w:rPr>
        <w:t xml:space="preserve">Tiesa, </w:t>
      </w:r>
      <w:r w:rsidR="00511A22" w:rsidRPr="001B4E6B">
        <w:rPr>
          <w:rFonts w:ascii="Times New Roman" w:hAnsi="Times New Roman" w:cs="Times New Roman"/>
        </w:rPr>
        <w:t>visas tris pirmąsias vietas skiria vos pusė procentinio punkto</w:t>
      </w:r>
      <w:r w:rsidR="00B3065F" w:rsidRPr="001B4E6B">
        <w:rPr>
          <w:rFonts w:ascii="Times New Roman" w:hAnsi="Times New Roman" w:cs="Times New Roman"/>
        </w:rPr>
        <w:t xml:space="preserve">: Estijos pensijų fondų </w:t>
      </w:r>
      <w:r w:rsidR="00C64AC6">
        <w:rPr>
          <w:rFonts w:ascii="Times New Roman" w:hAnsi="Times New Roman" w:cs="Times New Roman"/>
        </w:rPr>
        <w:t xml:space="preserve">realus </w:t>
      </w:r>
      <w:r w:rsidR="00B3065F" w:rsidRPr="001B4E6B">
        <w:rPr>
          <w:rFonts w:ascii="Times New Roman" w:hAnsi="Times New Roman" w:cs="Times New Roman"/>
        </w:rPr>
        <w:t xml:space="preserve">metinis augimas 2024-aisiais buvo </w:t>
      </w:r>
      <w:r w:rsidR="0002206A" w:rsidRPr="001B4E6B">
        <w:rPr>
          <w:rFonts w:ascii="Times New Roman" w:hAnsi="Times New Roman" w:cs="Times New Roman"/>
        </w:rPr>
        <w:t xml:space="preserve">11,3 proc., o antroje vietoje esančios Slovakijos – 11,1 proc. </w:t>
      </w:r>
    </w:p>
    <w:p w14:paraId="0AFB18B3" w14:textId="287A7DA6" w:rsidR="00A969E5" w:rsidRPr="001B4E6B" w:rsidRDefault="00334E0B" w:rsidP="001B4E6B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Naudą kūrė investicijos į pasaulio įmonių akcijas </w:t>
      </w:r>
    </w:p>
    <w:p w14:paraId="42462F42" w14:textId="47627828" w:rsidR="00334E0B" w:rsidRPr="001B4E6B" w:rsidRDefault="00334E0B" w:rsidP="00334E0B">
      <w:pPr>
        <w:jc w:val="both"/>
        <w:rPr>
          <w:rFonts w:ascii="Times New Roman" w:hAnsi="Times New Roman" w:cs="Times New Roman"/>
        </w:rPr>
      </w:pPr>
      <w:r w:rsidRPr="001B4E6B">
        <w:rPr>
          <w:rFonts w:ascii="Times New Roman" w:hAnsi="Times New Roman" w:cs="Times New Roman"/>
        </w:rPr>
        <w:t xml:space="preserve">EBPO šalys, pernai pasiekę didžiausią realią investicinę grąžą – Estija, Slovakija ir Lietuva – daugiau nei 60 proc. pensijų fondų turto buvo investavę į akcijas. </w:t>
      </w:r>
    </w:p>
    <w:p w14:paraId="198FBE9C" w14:textId="0C558509" w:rsidR="00334E0B" w:rsidRPr="001B4E6B" w:rsidRDefault="00334E0B" w:rsidP="00334E0B">
      <w:pPr>
        <w:jc w:val="both"/>
        <w:rPr>
          <w:rFonts w:ascii="Times New Roman" w:hAnsi="Times New Roman" w:cs="Times New Roman"/>
        </w:rPr>
      </w:pPr>
      <w:r w:rsidRPr="001B4E6B">
        <w:rPr>
          <w:rFonts w:ascii="Times New Roman" w:hAnsi="Times New Roman" w:cs="Times New Roman"/>
        </w:rPr>
        <w:t>„Būtent šios investicijos labiausiai nulėmė aukštus grąžos rezultatus – pasaulio akcijų rinkų vertė pastaraisiais metais sparčiai auga ir teigiamą grąžą sugeneravo jau antrus metus iš eilės</w:t>
      </w:r>
      <w:r>
        <w:rPr>
          <w:rFonts w:ascii="Times New Roman" w:hAnsi="Times New Roman" w:cs="Times New Roman"/>
        </w:rPr>
        <w:t>. Gyvenimo ciklo pensijų fondų įkūrimas 2019 m., kai investicijos buvo pritaikytos pagal amžių, pasiteisino su kaupu</w:t>
      </w:r>
      <w:r w:rsidR="009D693A">
        <w:rPr>
          <w:rFonts w:ascii="Times New Roman" w:hAnsi="Times New Roman" w:cs="Times New Roman"/>
        </w:rPr>
        <w:t xml:space="preserve"> ir</w:t>
      </w:r>
      <w:r>
        <w:rPr>
          <w:rFonts w:ascii="Times New Roman" w:hAnsi="Times New Roman" w:cs="Times New Roman"/>
        </w:rPr>
        <w:t xml:space="preserve"> padėj</w:t>
      </w:r>
      <w:r w:rsidR="009D693A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kaupiantiesiems</w:t>
      </w:r>
      <w:r w:rsidR="009D693A" w:rsidRPr="009D693A">
        <w:rPr>
          <w:rFonts w:ascii="Times New Roman" w:hAnsi="Times New Roman" w:cs="Times New Roman"/>
        </w:rPr>
        <w:t xml:space="preserve"> </w:t>
      </w:r>
      <w:r w:rsidR="009D693A">
        <w:rPr>
          <w:rFonts w:ascii="Times New Roman" w:hAnsi="Times New Roman" w:cs="Times New Roman"/>
        </w:rPr>
        <w:t>uždirbti ne vieną milijardą</w:t>
      </w:r>
      <w:r w:rsidRPr="001B4E6B">
        <w:rPr>
          <w:rFonts w:ascii="Times New Roman" w:hAnsi="Times New Roman" w:cs="Times New Roman"/>
        </w:rPr>
        <w:t xml:space="preserve">“, – sako V. Rūkas. </w:t>
      </w:r>
    </w:p>
    <w:p w14:paraId="3E23D028" w14:textId="77BF3B63" w:rsidR="00334E0B" w:rsidRPr="00334E0B" w:rsidRDefault="00334E0B" w:rsidP="001B4E6B">
      <w:pPr>
        <w:jc w:val="both"/>
        <w:rPr>
          <w:rFonts w:ascii="Times New Roman" w:hAnsi="Times New Roman" w:cs="Times New Roman"/>
          <w:b/>
          <w:bCs/>
        </w:rPr>
      </w:pPr>
      <w:r w:rsidRPr="00334E0B">
        <w:rPr>
          <w:rFonts w:ascii="Times New Roman" w:hAnsi="Times New Roman" w:cs="Times New Roman"/>
          <w:b/>
          <w:bCs/>
        </w:rPr>
        <w:t>Sukauptas turtas augo</w:t>
      </w:r>
    </w:p>
    <w:p w14:paraId="123240DC" w14:textId="1492EB94" w:rsidR="00A5385B" w:rsidRPr="001B4E6B" w:rsidRDefault="001C6890" w:rsidP="001B4E6B">
      <w:pPr>
        <w:jc w:val="both"/>
        <w:rPr>
          <w:rFonts w:ascii="Times New Roman" w:hAnsi="Times New Roman" w:cs="Times New Roman"/>
        </w:rPr>
      </w:pPr>
      <w:r w:rsidRPr="001B4E6B">
        <w:rPr>
          <w:rFonts w:ascii="Times New Roman" w:hAnsi="Times New Roman" w:cs="Times New Roman"/>
        </w:rPr>
        <w:t>„</w:t>
      </w:r>
      <w:r w:rsidR="00D00477" w:rsidRPr="001B4E6B">
        <w:rPr>
          <w:rFonts w:ascii="Times New Roman" w:hAnsi="Times New Roman" w:cs="Times New Roman"/>
        </w:rPr>
        <w:t xml:space="preserve">Lietuvos pensijų fonduose sukauptas turtas per 2024-uosius padidėjo 28,5 proc. ir perkopė 9 milijardų eurų ribą. </w:t>
      </w:r>
      <w:r w:rsidR="00A5385B" w:rsidRPr="001B4E6B">
        <w:rPr>
          <w:rFonts w:ascii="Times New Roman" w:hAnsi="Times New Roman" w:cs="Times New Roman"/>
        </w:rPr>
        <w:t xml:space="preserve">Tuo tarpu Estijoje metinis augimas sudarė </w:t>
      </w:r>
      <w:r w:rsidR="0054613F" w:rsidRPr="001B4E6B">
        <w:rPr>
          <w:rFonts w:ascii="Times New Roman" w:hAnsi="Times New Roman" w:cs="Times New Roman"/>
        </w:rPr>
        <w:t xml:space="preserve">šiek tiek daugiau nei 22 proc., o bendras šios šalies pensijų fondų valdomo turto dydis buvo </w:t>
      </w:r>
      <w:r w:rsidR="00085EDD" w:rsidRPr="001B4E6B">
        <w:rPr>
          <w:rFonts w:ascii="Times New Roman" w:hAnsi="Times New Roman" w:cs="Times New Roman"/>
        </w:rPr>
        <w:t>maždaug ketvirta</w:t>
      </w:r>
      <w:r w:rsidR="0054613F" w:rsidRPr="001B4E6B">
        <w:rPr>
          <w:rFonts w:ascii="Times New Roman" w:hAnsi="Times New Roman" w:cs="Times New Roman"/>
        </w:rPr>
        <w:t xml:space="preserve">daliu mažesnis nei Lietuvoje – apie </w:t>
      </w:r>
      <w:r w:rsidR="00A5385B" w:rsidRPr="001B4E6B">
        <w:rPr>
          <w:rFonts w:ascii="Times New Roman" w:hAnsi="Times New Roman" w:cs="Times New Roman"/>
        </w:rPr>
        <w:t>6,8 milijardo eurų</w:t>
      </w:r>
      <w:r w:rsidR="00F67483" w:rsidRPr="001B4E6B">
        <w:rPr>
          <w:rFonts w:ascii="Times New Roman" w:hAnsi="Times New Roman" w:cs="Times New Roman"/>
        </w:rPr>
        <w:t>“, – pastebi LIPFA va</w:t>
      </w:r>
      <w:r w:rsidR="001F231C" w:rsidRPr="001B4E6B">
        <w:rPr>
          <w:rFonts w:ascii="Times New Roman" w:hAnsi="Times New Roman" w:cs="Times New Roman"/>
        </w:rPr>
        <w:t>ldybos narys</w:t>
      </w:r>
      <w:r w:rsidR="00F67483" w:rsidRPr="001B4E6B">
        <w:rPr>
          <w:rFonts w:ascii="Times New Roman" w:hAnsi="Times New Roman" w:cs="Times New Roman"/>
        </w:rPr>
        <w:t xml:space="preserve">. </w:t>
      </w:r>
    </w:p>
    <w:p w14:paraId="5CF15C97" w14:textId="64DCD930" w:rsidR="003F3F2F" w:rsidRPr="001B4E6B" w:rsidRDefault="00DD52D5" w:rsidP="001B4E6B">
      <w:pPr>
        <w:jc w:val="both"/>
        <w:rPr>
          <w:rFonts w:ascii="Times New Roman" w:hAnsi="Times New Roman" w:cs="Times New Roman"/>
        </w:rPr>
      </w:pPr>
      <w:r w:rsidRPr="001B4E6B">
        <w:rPr>
          <w:rFonts w:ascii="Times New Roman" w:hAnsi="Times New Roman" w:cs="Times New Roman"/>
        </w:rPr>
        <w:t xml:space="preserve">Apskritai pensijų fondų valdomas turtas </w:t>
      </w:r>
      <w:r w:rsidR="003F3F2F" w:rsidRPr="001B4E6B">
        <w:rPr>
          <w:rFonts w:ascii="Times New Roman" w:hAnsi="Times New Roman" w:cs="Times New Roman"/>
        </w:rPr>
        <w:t>2024</w:t>
      </w:r>
      <w:r w:rsidR="00B47979" w:rsidRPr="001B4E6B">
        <w:rPr>
          <w:rFonts w:ascii="Times New Roman" w:hAnsi="Times New Roman" w:cs="Times New Roman"/>
        </w:rPr>
        <w:t>-aisiais</w:t>
      </w:r>
      <w:r w:rsidR="003F3F2F" w:rsidRPr="001B4E6B">
        <w:rPr>
          <w:rFonts w:ascii="Times New Roman" w:hAnsi="Times New Roman" w:cs="Times New Roman"/>
        </w:rPr>
        <w:t xml:space="preserve"> augo daugumoje ataskaitas teikiančių EBPO šalių. Sparčiausias</w:t>
      </w:r>
      <w:r w:rsidR="00821A9B" w:rsidRPr="001B4E6B">
        <w:rPr>
          <w:rFonts w:ascii="Times New Roman" w:hAnsi="Times New Roman" w:cs="Times New Roman"/>
        </w:rPr>
        <w:t>,</w:t>
      </w:r>
      <w:r w:rsidR="003F3F2F" w:rsidRPr="001B4E6B">
        <w:rPr>
          <w:rFonts w:ascii="Times New Roman" w:hAnsi="Times New Roman" w:cs="Times New Roman"/>
        </w:rPr>
        <w:t xml:space="preserve"> </w:t>
      </w:r>
      <w:r w:rsidR="00821A9B" w:rsidRPr="001B4E6B">
        <w:rPr>
          <w:rFonts w:ascii="Times New Roman" w:hAnsi="Times New Roman" w:cs="Times New Roman"/>
        </w:rPr>
        <w:t xml:space="preserve">20 proc. viršijęs </w:t>
      </w:r>
      <w:r w:rsidR="002B7CD6" w:rsidRPr="001B4E6B">
        <w:rPr>
          <w:rFonts w:ascii="Times New Roman" w:hAnsi="Times New Roman" w:cs="Times New Roman"/>
        </w:rPr>
        <w:t xml:space="preserve">nominalus augimas nacionaline valiuta </w:t>
      </w:r>
      <w:r w:rsidR="00E9776E" w:rsidRPr="001B4E6B">
        <w:rPr>
          <w:rFonts w:ascii="Times New Roman" w:hAnsi="Times New Roman" w:cs="Times New Roman"/>
        </w:rPr>
        <w:t xml:space="preserve">pernai buvo </w:t>
      </w:r>
      <w:r w:rsidR="003F3F2F" w:rsidRPr="001B4E6B">
        <w:rPr>
          <w:rFonts w:ascii="Times New Roman" w:hAnsi="Times New Roman" w:cs="Times New Roman"/>
        </w:rPr>
        <w:t>fiksuotas Baltijos šalyse</w:t>
      </w:r>
      <w:r w:rsidR="00334E0B">
        <w:rPr>
          <w:rFonts w:ascii="Times New Roman" w:hAnsi="Times New Roman" w:cs="Times New Roman"/>
        </w:rPr>
        <w:t xml:space="preserve">. </w:t>
      </w:r>
    </w:p>
    <w:p w14:paraId="5C3DAB26" w14:textId="28532C71" w:rsidR="008A7416" w:rsidRPr="001B4E6B" w:rsidRDefault="008A7416" w:rsidP="001B4E6B">
      <w:pPr>
        <w:jc w:val="both"/>
        <w:rPr>
          <w:rFonts w:ascii="Times New Roman" w:hAnsi="Times New Roman" w:cs="Times New Roman"/>
          <w:b/>
          <w:bCs/>
        </w:rPr>
      </w:pPr>
      <w:r w:rsidRPr="001B4E6B">
        <w:rPr>
          <w:rFonts w:ascii="Times New Roman" w:hAnsi="Times New Roman" w:cs="Times New Roman"/>
          <w:b/>
          <w:bCs/>
        </w:rPr>
        <w:t xml:space="preserve">Pasaulio pensijų fondų lyderiai </w:t>
      </w:r>
      <w:r w:rsidR="00D821C9">
        <w:rPr>
          <w:rFonts w:ascii="Times New Roman" w:hAnsi="Times New Roman" w:cs="Times New Roman"/>
          <w:b/>
          <w:bCs/>
        </w:rPr>
        <w:t>ir atsiliekantys</w:t>
      </w:r>
    </w:p>
    <w:p w14:paraId="3176A897" w14:textId="4A4008C9" w:rsidR="000500DD" w:rsidRPr="001B4E6B" w:rsidRDefault="000500DD" w:rsidP="001B4E6B">
      <w:pPr>
        <w:jc w:val="both"/>
        <w:rPr>
          <w:rFonts w:ascii="Times New Roman" w:hAnsi="Times New Roman" w:cs="Times New Roman"/>
        </w:rPr>
      </w:pPr>
      <w:r w:rsidRPr="001B4E6B">
        <w:rPr>
          <w:rFonts w:ascii="Times New Roman" w:hAnsi="Times New Roman" w:cs="Times New Roman"/>
        </w:rPr>
        <w:t xml:space="preserve">Lietuvos pensijų fonduose praėjusių metų pabaigoje sukauptas turtas prilygo maždaug 12,2 proc. šalies BVP. Pagal šį rodiklį pasaulyje pirmauja Danija, pensijų fonduose turinti maždaug 777 milijardus eurų – dvigubai (204 proc.) didesnę sumą nei visas valstybės BVP. </w:t>
      </w:r>
    </w:p>
    <w:p w14:paraId="58E23DC5" w14:textId="5BDAAC2C" w:rsidR="006E0363" w:rsidRDefault="00AB526C" w:rsidP="001B4E6B">
      <w:pPr>
        <w:jc w:val="both"/>
        <w:rPr>
          <w:rFonts w:ascii="Times New Roman" w:hAnsi="Times New Roman" w:cs="Times New Roman"/>
        </w:rPr>
      </w:pPr>
      <w:r w:rsidRPr="001B4E6B">
        <w:rPr>
          <w:rFonts w:ascii="Times New Roman" w:hAnsi="Times New Roman" w:cs="Times New Roman"/>
        </w:rPr>
        <w:t>Tuo tarpu p</w:t>
      </w:r>
      <w:r w:rsidR="00243635" w:rsidRPr="001B4E6B">
        <w:rPr>
          <w:rFonts w:ascii="Times New Roman" w:hAnsi="Times New Roman" w:cs="Times New Roman"/>
        </w:rPr>
        <w:t>agal absoliuči</w:t>
      </w:r>
      <w:r w:rsidR="00CB497D" w:rsidRPr="001B4E6B">
        <w:rPr>
          <w:rFonts w:ascii="Times New Roman" w:hAnsi="Times New Roman" w:cs="Times New Roman"/>
        </w:rPr>
        <w:t>us</w:t>
      </w:r>
      <w:r w:rsidR="00243635" w:rsidRPr="001B4E6B">
        <w:rPr>
          <w:rFonts w:ascii="Times New Roman" w:hAnsi="Times New Roman" w:cs="Times New Roman"/>
        </w:rPr>
        <w:t xml:space="preserve"> </w:t>
      </w:r>
      <w:r w:rsidR="00CB497D" w:rsidRPr="001B4E6B">
        <w:rPr>
          <w:rFonts w:ascii="Times New Roman" w:hAnsi="Times New Roman" w:cs="Times New Roman"/>
        </w:rPr>
        <w:t xml:space="preserve">skaičius </w:t>
      </w:r>
      <w:r w:rsidR="00C96A01" w:rsidRPr="001B4E6B">
        <w:rPr>
          <w:rFonts w:ascii="Times New Roman" w:hAnsi="Times New Roman" w:cs="Times New Roman"/>
        </w:rPr>
        <w:t xml:space="preserve">neginčijama lyderė yra </w:t>
      </w:r>
      <w:r w:rsidR="00243635" w:rsidRPr="001B4E6B">
        <w:rPr>
          <w:rFonts w:ascii="Times New Roman" w:hAnsi="Times New Roman" w:cs="Times New Roman"/>
        </w:rPr>
        <w:t>JAV</w:t>
      </w:r>
      <w:r w:rsidR="004146D0" w:rsidRPr="001B4E6B">
        <w:rPr>
          <w:rFonts w:ascii="Times New Roman" w:hAnsi="Times New Roman" w:cs="Times New Roman"/>
        </w:rPr>
        <w:t>,</w:t>
      </w:r>
      <w:r w:rsidR="00243635" w:rsidRPr="001B4E6B">
        <w:rPr>
          <w:rFonts w:ascii="Times New Roman" w:hAnsi="Times New Roman" w:cs="Times New Roman"/>
        </w:rPr>
        <w:t xml:space="preserve"> </w:t>
      </w:r>
      <w:r w:rsidR="0018688B" w:rsidRPr="001B4E6B">
        <w:rPr>
          <w:rFonts w:ascii="Times New Roman" w:hAnsi="Times New Roman" w:cs="Times New Roman"/>
        </w:rPr>
        <w:t xml:space="preserve">2024 m. pabaigoje </w:t>
      </w:r>
      <w:r w:rsidR="00CB497D" w:rsidRPr="001B4E6B">
        <w:rPr>
          <w:rFonts w:ascii="Times New Roman" w:hAnsi="Times New Roman" w:cs="Times New Roman"/>
        </w:rPr>
        <w:t xml:space="preserve">pensijų fonduose sukaupusi turto už </w:t>
      </w:r>
      <w:r w:rsidR="0018688B" w:rsidRPr="001B4E6B">
        <w:rPr>
          <w:rFonts w:ascii="Times New Roman" w:hAnsi="Times New Roman" w:cs="Times New Roman"/>
        </w:rPr>
        <w:t>39,5 trilijono eurų (</w:t>
      </w:r>
      <w:r w:rsidR="00243635" w:rsidRPr="001B4E6B">
        <w:rPr>
          <w:rFonts w:ascii="Times New Roman" w:hAnsi="Times New Roman" w:cs="Times New Roman"/>
        </w:rPr>
        <w:t xml:space="preserve">42,9 trilijono </w:t>
      </w:r>
      <w:r w:rsidR="0018688B" w:rsidRPr="001B4E6B">
        <w:rPr>
          <w:rFonts w:ascii="Times New Roman" w:hAnsi="Times New Roman" w:cs="Times New Roman"/>
        </w:rPr>
        <w:t>JAV dolerių</w:t>
      </w:r>
      <w:r w:rsidR="00243635" w:rsidRPr="001B4E6B">
        <w:rPr>
          <w:rFonts w:ascii="Times New Roman" w:hAnsi="Times New Roman" w:cs="Times New Roman"/>
        </w:rPr>
        <w:t>)</w:t>
      </w:r>
      <w:r w:rsidR="0018688B" w:rsidRPr="001B4E6B">
        <w:rPr>
          <w:rFonts w:ascii="Times New Roman" w:hAnsi="Times New Roman" w:cs="Times New Roman"/>
        </w:rPr>
        <w:t xml:space="preserve">. </w:t>
      </w:r>
    </w:p>
    <w:p w14:paraId="023B3059" w14:textId="108BD299" w:rsidR="00D821C9" w:rsidRPr="001B4E6B" w:rsidRDefault="00D821C9" w:rsidP="001B4E6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Mažesnės apimties turtą nuo BVP nei Lietuva yra sukaupusios tokios pietų Europos šalys, kaip Graikija, Italija, Ispanija. Šiose šalyse finansinio turto kaupimas pensija nėra išvystytas, todėl remiasi mokesčių perskirstymu. </w:t>
      </w:r>
    </w:p>
    <w:p w14:paraId="2221986D" w14:textId="3B5D256F" w:rsidR="00516137" w:rsidRPr="001B4E6B" w:rsidRDefault="00664CCF" w:rsidP="001B4E6B">
      <w:pPr>
        <w:jc w:val="both"/>
        <w:rPr>
          <w:rFonts w:ascii="Times New Roman" w:hAnsi="Times New Roman" w:cs="Times New Roman"/>
        </w:rPr>
      </w:pPr>
      <w:r w:rsidRPr="001B4E6B">
        <w:rPr>
          <w:rFonts w:ascii="Times New Roman" w:hAnsi="Times New Roman" w:cs="Times New Roman"/>
        </w:rPr>
        <w:t xml:space="preserve">Bendras </w:t>
      </w:r>
      <w:r w:rsidR="00DE2A56" w:rsidRPr="001B4E6B">
        <w:rPr>
          <w:rFonts w:ascii="Times New Roman" w:hAnsi="Times New Roman" w:cs="Times New Roman"/>
        </w:rPr>
        <w:t>EBPO šalyse pensijoms kaupiamo turto augimas pernai</w:t>
      </w:r>
      <w:r w:rsidR="00516137" w:rsidRPr="001B4E6B">
        <w:rPr>
          <w:rFonts w:ascii="Times New Roman" w:hAnsi="Times New Roman" w:cs="Times New Roman"/>
        </w:rPr>
        <w:t xml:space="preserve"> </w:t>
      </w:r>
      <w:r w:rsidRPr="001B4E6B">
        <w:rPr>
          <w:rFonts w:ascii="Times New Roman" w:hAnsi="Times New Roman" w:cs="Times New Roman"/>
        </w:rPr>
        <w:t xml:space="preserve">siekė 8,5 proc., </w:t>
      </w:r>
      <w:r w:rsidR="00516137" w:rsidRPr="001B4E6B">
        <w:rPr>
          <w:rFonts w:ascii="Times New Roman" w:hAnsi="Times New Roman" w:cs="Times New Roman"/>
        </w:rPr>
        <w:t>virš</w:t>
      </w:r>
      <w:r w:rsidR="00DE2A56" w:rsidRPr="001B4E6B">
        <w:rPr>
          <w:rFonts w:ascii="Times New Roman" w:hAnsi="Times New Roman" w:cs="Times New Roman"/>
        </w:rPr>
        <w:t xml:space="preserve">ijo </w:t>
      </w:r>
      <w:r w:rsidR="00516137" w:rsidRPr="001B4E6B">
        <w:rPr>
          <w:rFonts w:ascii="Times New Roman" w:hAnsi="Times New Roman" w:cs="Times New Roman"/>
        </w:rPr>
        <w:t>ankstesnį 2021 m. rekordą</w:t>
      </w:r>
      <w:r w:rsidRPr="001B4E6B">
        <w:rPr>
          <w:rFonts w:ascii="Times New Roman" w:hAnsi="Times New Roman" w:cs="Times New Roman"/>
        </w:rPr>
        <w:t xml:space="preserve"> ir visiškai </w:t>
      </w:r>
      <w:r w:rsidR="00516137" w:rsidRPr="001B4E6B">
        <w:rPr>
          <w:rFonts w:ascii="Times New Roman" w:hAnsi="Times New Roman" w:cs="Times New Roman"/>
        </w:rPr>
        <w:t>kompens</w:t>
      </w:r>
      <w:r w:rsidRPr="001B4E6B">
        <w:rPr>
          <w:rFonts w:ascii="Times New Roman" w:hAnsi="Times New Roman" w:cs="Times New Roman"/>
        </w:rPr>
        <w:t>avo</w:t>
      </w:r>
      <w:r w:rsidR="00516137" w:rsidRPr="001B4E6B">
        <w:rPr>
          <w:rFonts w:ascii="Times New Roman" w:hAnsi="Times New Roman" w:cs="Times New Roman"/>
        </w:rPr>
        <w:t xml:space="preserve"> 2022 m. nuostolius.</w:t>
      </w:r>
      <w:r w:rsidRPr="001B4E6B">
        <w:rPr>
          <w:rFonts w:ascii="Times New Roman" w:hAnsi="Times New Roman" w:cs="Times New Roman"/>
        </w:rPr>
        <w:t xml:space="preserve"> </w:t>
      </w:r>
      <w:r w:rsidR="00A579B9" w:rsidRPr="001B4E6B">
        <w:rPr>
          <w:rFonts w:ascii="Times New Roman" w:hAnsi="Times New Roman" w:cs="Times New Roman"/>
        </w:rPr>
        <w:t>2024 m. pabaigoje bendr</w:t>
      </w:r>
      <w:r w:rsidR="00B520DC" w:rsidRPr="001B4E6B">
        <w:rPr>
          <w:rFonts w:ascii="Times New Roman" w:hAnsi="Times New Roman" w:cs="Times New Roman"/>
        </w:rPr>
        <w:t>o</w:t>
      </w:r>
      <w:r w:rsidR="00A579B9" w:rsidRPr="001B4E6B">
        <w:rPr>
          <w:rFonts w:ascii="Times New Roman" w:hAnsi="Times New Roman" w:cs="Times New Roman"/>
        </w:rPr>
        <w:t xml:space="preserve"> EBPO šalių </w:t>
      </w:r>
      <w:r w:rsidR="00DD091E" w:rsidRPr="001B4E6B">
        <w:rPr>
          <w:rFonts w:ascii="Times New Roman" w:hAnsi="Times New Roman" w:cs="Times New Roman"/>
        </w:rPr>
        <w:t xml:space="preserve">gyventojų </w:t>
      </w:r>
      <w:r w:rsidR="00A579B9" w:rsidRPr="001B4E6B">
        <w:rPr>
          <w:rFonts w:ascii="Times New Roman" w:hAnsi="Times New Roman" w:cs="Times New Roman"/>
        </w:rPr>
        <w:t>p</w:t>
      </w:r>
      <w:r w:rsidR="00516137" w:rsidRPr="001B4E6B">
        <w:rPr>
          <w:rFonts w:ascii="Times New Roman" w:hAnsi="Times New Roman" w:cs="Times New Roman"/>
        </w:rPr>
        <w:t>ensij</w:t>
      </w:r>
      <w:r w:rsidR="00DD091E" w:rsidRPr="001B4E6B">
        <w:rPr>
          <w:rFonts w:ascii="Times New Roman" w:hAnsi="Times New Roman" w:cs="Times New Roman"/>
        </w:rPr>
        <w:t>oms</w:t>
      </w:r>
      <w:r w:rsidR="00516137" w:rsidRPr="001B4E6B">
        <w:rPr>
          <w:rFonts w:ascii="Times New Roman" w:hAnsi="Times New Roman" w:cs="Times New Roman"/>
        </w:rPr>
        <w:t xml:space="preserve"> </w:t>
      </w:r>
      <w:r w:rsidR="00DD091E" w:rsidRPr="001B4E6B">
        <w:rPr>
          <w:rFonts w:ascii="Times New Roman" w:hAnsi="Times New Roman" w:cs="Times New Roman"/>
        </w:rPr>
        <w:t>sukaupt</w:t>
      </w:r>
      <w:r w:rsidR="00B520DC" w:rsidRPr="001B4E6B">
        <w:rPr>
          <w:rFonts w:ascii="Times New Roman" w:hAnsi="Times New Roman" w:cs="Times New Roman"/>
        </w:rPr>
        <w:t>o</w:t>
      </w:r>
      <w:r w:rsidR="00DD091E" w:rsidRPr="001B4E6B">
        <w:rPr>
          <w:rFonts w:ascii="Times New Roman" w:hAnsi="Times New Roman" w:cs="Times New Roman"/>
        </w:rPr>
        <w:t xml:space="preserve"> </w:t>
      </w:r>
      <w:r w:rsidR="00516137" w:rsidRPr="001B4E6B">
        <w:rPr>
          <w:rFonts w:ascii="Times New Roman" w:hAnsi="Times New Roman" w:cs="Times New Roman"/>
        </w:rPr>
        <w:t xml:space="preserve">turto suma </w:t>
      </w:r>
      <w:r w:rsidR="00D907B7" w:rsidRPr="001B4E6B">
        <w:rPr>
          <w:rFonts w:ascii="Times New Roman" w:hAnsi="Times New Roman" w:cs="Times New Roman"/>
        </w:rPr>
        <w:t xml:space="preserve">buvo </w:t>
      </w:r>
      <w:r w:rsidR="004A2E4A" w:rsidRPr="001B4E6B">
        <w:rPr>
          <w:rFonts w:ascii="Times New Roman" w:hAnsi="Times New Roman" w:cs="Times New Roman"/>
        </w:rPr>
        <w:t>56</w:t>
      </w:r>
      <w:r w:rsidR="00A579B9" w:rsidRPr="001B4E6B">
        <w:rPr>
          <w:rFonts w:ascii="Times New Roman" w:hAnsi="Times New Roman" w:cs="Times New Roman"/>
        </w:rPr>
        <w:t>,</w:t>
      </w:r>
      <w:r w:rsidR="004A2E4A" w:rsidRPr="001B4E6B">
        <w:rPr>
          <w:rFonts w:ascii="Times New Roman" w:hAnsi="Times New Roman" w:cs="Times New Roman"/>
        </w:rPr>
        <w:t>6 trilijono eurų</w:t>
      </w:r>
      <w:r w:rsidR="00516137" w:rsidRPr="001B4E6B">
        <w:rPr>
          <w:rFonts w:ascii="Times New Roman" w:hAnsi="Times New Roman" w:cs="Times New Roman"/>
        </w:rPr>
        <w:t>.</w:t>
      </w:r>
      <w:r w:rsidR="00A579B9" w:rsidRPr="001B4E6B">
        <w:rPr>
          <w:rFonts w:ascii="Times New Roman" w:hAnsi="Times New Roman" w:cs="Times New Roman"/>
        </w:rPr>
        <w:t xml:space="preserve"> </w:t>
      </w:r>
    </w:p>
    <w:p w14:paraId="551B6D7D" w14:textId="2875FCB4" w:rsidR="00516137" w:rsidRPr="001B4E6B" w:rsidRDefault="00590440" w:rsidP="001B4E6B">
      <w:pPr>
        <w:jc w:val="both"/>
        <w:rPr>
          <w:rFonts w:ascii="Times New Roman" w:hAnsi="Times New Roman" w:cs="Times New Roman"/>
        </w:rPr>
      </w:pPr>
      <w:r w:rsidRPr="001B4E6B">
        <w:rPr>
          <w:rFonts w:ascii="Times New Roman" w:hAnsi="Times New Roman" w:cs="Times New Roman"/>
        </w:rPr>
        <w:t xml:space="preserve">Išsami </w:t>
      </w:r>
      <w:r w:rsidR="000B17E3" w:rsidRPr="001B4E6B">
        <w:rPr>
          <w:rFonts w:ascii="Times New Roman" w:hAnsi="Times New Roman" w:cs="Times New Roman"/>
        </w:rPr>
        <w:t xml:space="preserve">2025 m. </w:t>
      </w:r>
      <w:r w:rsidRPr="001B4E6B">
        <w:rPr>
          <w:rFonts w:ascii="Times New Roman" w:hAnsi="Times New Roman" w:cs="Times New Roman"/>
        </w:rPr>
        <w:t xml:space="preserve">leidinio </w:t>
      </w:r>
      <w:r w:rsidR="00975DC1" w:rsidRPr="001B4E6B">
        <w:rPr>
          <w:rFonts w:ascii="Times New Roman" w:hAnsi="Times New Roman" w:cs="Times New Roman"/>
        </w:rPr>
        <w:t>„</w:t>
      </w:r>
      <w:proofErr w:type="spellStart"/>
      <w:r w:rsidR="00975DC1" w:rsidRPr="001B4E6B">
        <w:rPr>
          <w:rFonts w:ascii="Times New Roman" w:hAnsi="Times New Roman" w:cs="Times New Roman"/>
        </w:rPr>
        <w:t>Pension</w:t>
      </w:r>
      <w:proofErr w:type="spellEnd"/>
      <w:r w:rsidR="00975DC1" w:rsidRPr="001B4E6B">
        <w:rPr>
          <w:rFonts w:ascii="Times New Roman" w:hAnsi="Times New Roman" w:cs="Times New Roman"/>
        </w:rPr>
        <w:t xml:space="preserve"> </w:t>
      </w:r>
      <w:proofErr w:type="spellStart"/>
      <w:r w:rsidR="00975DC1" w:rsidRPr="001B4E6B">
        <w:rPr>
          <w:rFonts w:ascii="Times New Roman" w:hAnsi="Times New Roman" w:cs="Times New Roman"/>
        </w:rPr>
        <w:t>Markets</w:t>
      </w:r>
      <w:proofErr w:type="spellEnd"/>
      <w:r w:rsidR="00975DC1" w:rsidRPr="001B4E6B">
        <w:rPr>
          <w:rFonts w:ascii="Times New Roman" w:hAnsi="Times New Roman" w:cs="Times New Roman"/>
        </w:rPr>
        <w:t xml:space="preserve"> </w:t>
      </w:r>
      <w:proofErr w:type="spellStart"/>
      <w:r w:rsidR="00975DC1" w:rsidRPr="001B4E6B">
        <w:rPr>
          <w:rFonts w:ascii="Times New Roman" w:hAnsi="Times New Roman" w:cs="Times New Roman"/>
        </w:rPr>
        <w:t>in</w:t>
      </w:r>
      <w:proofErr w:type="spellEnd"/>
      <w:r w:rsidR="00975DC1" w:rsidRPr="001B4E6B">
        <w:rPr>
          <w:rFonts w:ascii="Times New Roman" w:hAnsi="Times New Roman" w:cs="Times New Roman"/>
        </w:rPr>
        <w:t xml:space="preserve"> </w:t>
      </w:r>
      <w:proofErr w:type="spellStart"/>
      <w:r w:rsidR="00975DC1" w:rsidRPr="001B4E6B">
        <w:rPr>
          <w:rFonts w:ascii="Times New Roman" w:hAnsi="Times New Roman" w:cs="Times New Roman"/>
        </w:rPr>
        <w:t>Focus</w:t>
      </w:r>
      <w:proofErr w:type="spellEnd"/>
      <w:r w:rsidR="00975DC1" w:rsidRPr="001B4E6B">
        <w:rPr>
          <w:rFonts w:ascii="Times New Roman" w:hAnsi="Times New Roman" w:cs="Times New Roman"/>
        </w:rPr>
        <w:t>“ ataskait</w:t>
      </w:r>
      <w:r w:rsidRPr="001B4E6B">
        <w:rPr>
          <w:rFonts w:ascii="Times New Roman" w:hAnsi="Times New Roman" w:cs="Times New Roman"/>
        </w:rPr>
        <w:t>os</w:t>
      </w:r>
      <w:r w:rsidR="00975DC1" w:rsidRPr="001B4E6B">
        <w:rPr>
          <w:rFonts w:ascii="Times New Roman" w:hAnsi="Times New Roman" w:cs="Times New Roman"/>
        </w:rPr>
        <w:t xml:space="preserve"> </w:t>
      </w:r>
      <w:r w:rsidRPr="001B4E6B">
        <w:rPr>
          <w:rFonts w:ascii="Times New Roman" w:hAnsi="Times New Roman" w:cs="Times New Roman"/>
        </w:rPr>
        <w:t xml:space="preserve">versija </w:t>
      </w:r>
      <w:r w:rsidR="007855FF" w:rsidRPr="001B4E6B">
        <w:rPr>
          <w:rFonts w:ascii="Times New Roman" w:hAnsi="Times New Roman" w:cs="Times New Roman"/>
        </w:rPr>
        <w:t xml:space="preserve">bus paskelbta </w:t>
      </w:r>
      <w:r w:rsidR="00866EDB" w:rsidRPr="001B4E6B">
        <w:rPr>
          <w:rFonts w:ascii="Times New Roman" w:hAnsi="Times New Roman" w:cs="Times New Roman"/>
        </w:rPr>
        <w:t xml:space="preserve">paskutinį šių metų </w:t>
      </w:r>
      <w:r w:rsidR="00516137" w:rsidRPr="001B4E6B">
        <w:rPr>
          <w:rFonts w:ascii="Times New Roman" w:hAnsi="Times New Roman" w:cs="Times New Roman"/>
        </w:rPr>
        <w:t>ketvirtį</w:t>
      </w:r>
      <w:r w:rsidR="00866EDB" w:rsidRPr="001B4E6B">
        <w:rPr>
          <w:rFonts w:ascii="Times New Roman" w:hAnsi="Times New Roman" w:cs="Times New Roman"/>
        </w:rPr>
        <w:t xml:space="preserve">. </w:t>
      </w:r>
    </w:p>
    <w:p w14:paraId="68F26604" w14:textId="77777777" w:rsidR="00600497" w:rsidRPr="001B4E6B" w:rsidRDefault="00600497" w:rsidP="001B4E6B">
      <w:pPr>
        <w:jc w:val="both"/>
        <w:rPr>
          <w:rFonts w:ascii="Times New Roman" w:hAnsi="Times New Roman" w:cs="Times New Roman"/>
        </w:rPr>
      </w:pPr>
    </w:p>
    <w:sectPr w:rsidR="00600497" w:rsidRPr="001B4E6B" w:rsidSect="00712F92">
      <w:headerReference w:type="default" r:id="rId6"/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6F313" w14:textId="77777777" w:rsidR="000C47D9" w:rsidRDefault="000C47D9" w:rsidP="00F07D1E">
      <w:pPr>
        <w:spacing w:after="0" w:line="240" w:lineRule="auto"/>
      </w:pPr>
      <w:r>
        <w:separator/>
      </w:r>
    </w:p>
  </w:endnote>
  <w:endnote w:type="continuationSeparator" w:id="0">
    <w:p w14:paraId="5D5F4045" w14:textId="77777777" w:rsidR="000C47D9" w:rsidRDefault="000C47D9" w:rsidP="00F07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C9C40" w14:textId="77777777" w:rsidR="000C47D9" w:rsidRDefault="000C47D9" w:rsidP="00F07D1E">
      <w:pPr>
        <w:spacing w:after="0" w:line="240" w:lineRule="auto"/>
      </w:pPr>
      <w:r>
        <w:separator/>
      </w:r>
    </w:p>
  </w:footnote>
  <w:footnote w:type="continuationSeparator" w:id="0">
    <w:p w14:paraId="737D3FEC" w14:textId="77777777" w:rsidR="000C47D9" w:rsidRDefault="000C47D9" w:rsidP="00F07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19223" w14:textId="7E9BFD8D" w:rsidR="00044B6C" w:rsidRDefault="00044B6C" w:rsidP="00044B6C">
    <w:pPr>
      <w:pStyle w:val="Header"/>
      <w:jc w:val="right"/>
    </w:pPr>
    <w:r>
      <w:rPr>
        <w:noProof/>
      </w:rPr>
      <w:drawing>
        <wp:inline distT="0" distB="0" distL="0" distR="0" wp14:anchorId="415AF5BF" wp14:editId="59926D0A">
          <wp:extent cx="2393950" cy="387350"/>
          <wp:effectExtent l="0" t="0" r="6350" b="0"/>
          <wp:docPr id="140639436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6394361" name="Picture 1" descr="Logo, company nam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3950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497"/>
    <w:rsid w:val="000126F7"/>
    <w:rsid w:val="000200F4"/>
    <w:rsid w:val="0002206A"/>
    <w:rsid w:val="00044B6C"/>
    <w:rsid w:val="000500DD"/>
    <w:rsid w:val="00076AD4"/>
    <w:rsid w:val="00076C78"/>
    <w:rsid w:val="00085EDD"/>
    <w:rsid w:val="000A4781"/>
    <w:rsid w:val="000B17E3"/>
    <w:rsid w:val="000B6EBD"/>
    <w:rsid w:val="000C47D9"/>
    <w:rsid w:val="000D1FD6"/>
    <w:rsid w:val="000F316D"/>
    <w:rsid w:val="0010489A"/>
    <w:rsid w:val="00185D8B"/>
    <w:rsid w:val="0018688B"/>
    <w:rsid w:val="0019292A"/>
    <w:rsid w:val="001955A1"/>
    <w:rsid w:val="001A2DA5"/>
    <w:rsid w:val="001B4E6B"/>
    <w:rsid w:val="001C6890"/>
    <w:rsid w:val="001F231C"/>
    <w:rsid w:val="0021361A"/>
    <w:rsid w:val="0022648C"/>
    <w:rsid w:val="00243635"/>
    <w:rsid w:val="00251396"/>
    <w:rsid w:val="002519DB"/>
    <w:rsid w:val="00255F16"/>
    <w:rsid w:val="00284B8B"/>
    <w:rsid w:val="002A3BA1"/>
    <w:rsid w:val="002A47D6"/>
    <w:rsid w:val="002B7CD6"/>
    <w:rsid w:val="002E2F13"/>
    <w:rsid w:val="002F2306"/>
    <w:rsid w:val="00322B39"/>
    <w:rsid w:val="00334E0B"/>
    <w:rsid w:val="003375F2"/>
    <w:rsid w:val="00345CA3"/>
    <w:rsid w:val="00355B41"/>
    <w:rsid w:val="003931F1"/>
    <w:rsid w:val="003C5E92"/>
    <w:rsid w:val="003E3169"/>
    <w:rsid w:val="003E32FF"/>
    <w:rsid w:val="003F3F2F"/>
    <w:rsid w:val="00400FFD"/>
    <w:rsid w:val="004146D0"/>
    <w:rsid w:val="00461450"/>
    <w:rsid w:val="0047617A"/>
    <w:rsid w:val="004A0ED5"/>
    <w:rsid w:val="004A2E4A"/>
    <w:rsid w:val="004E5F4B"/>
    <w:rsid w:val="00511A22"/>
    <w:rsid w:val="00513FD6"/>
    <w:rsid w:val="00516137"/>
    <w:rsid w:val="00543F06"/>
    <w:rsid w:val="0054613F"/>
    <w:rsid w:val="00561048"/>
    <w:rsid w:val="00584BBA"/>
    <w:rsid w:val="0058548D"/>
    <w:rsid w:val="00590440"/>
    <w:rsid w:val="005C0880"/>
    <w:rsid w:val="005C6F32"/>
    <w:rsid w:val="005F1D7A"/>
    <w:rsid w:val="00600497"/>
    <w:rsid w:val="00616CDA"/>
    <w:rsid w:val="00620A4F"/>
    <w:rsid w:val="0064320D"/>
    <w:rsid w:val="006501F8"/>
    <w:rsid w:val="00655BDB"/>
    <w:rsid w:val="00655E93"/>
    <w:rsid w:val="00664CCF"/>
    <w:rsid w:val="006923BA"/>
    <w:rsid w:val="006E0363"/>
    <w:rsid w:val="006E7C7E"/>
    <w:rsid w:val="0071143E"/>
    <w:rsid w:val="00711DD9"/>
    <w:rsid w:val="00712F92"/>
    <w:rsid w:val="00726D8A"/>
    <w:rsid w:val="00757445"/>
    <w:rsid w:val="007747D0"/>
    <w:rsid w:val="007855FF"/>
    <w:rsid w:val="007A699D"/>
    <w:rsid w:val="007D24C2"/>
    <w:rsid w:val="007D4173"/>
    <w:rsid w:val="007D75EA"/>
    <w:rsid w:val="007E1108"/>
    <w:rsid w:val="007E3C70"/>
    <w:rsid w:val="008064FA"/>
    <w:rsid w:val="00821A9B"/>
    <w:rsid w:val="00823FB8"/>
    <w:rsid w:val="00825DA0"/>
    <w:rsid w:val="00842DE7"/>
    <w:rsid w:val="00866EDB"/>
    <w:rsid w:val="00886A22"/>
    <w:rsid w:val="00891267"/>
    <w:rsid w:val="008A7416"/>
    <w:rsid w:val="008C44BB"/>
    <w:rsid w:val="008F190B"/>
    <w:rsid w:val="0091247B"/>
    <w:rsid w:val="0091462D"/>
    <w:rsid w:val="00963520"/>
    <w:rsid w:val="00975DC1"/>
    <w:rsid w:val="00980DD4"/>
    <w:rsid w:val="009D693A"/>
    <w:rsid w:val="009F6764"/>
    <w:rsid w:val="00A22553"/>
    <w:rsid w:val="00A229D9"/>
    <w:rsid w:val="00A25AAB"/>
    <w:rsid w:val="00A5385B"/>
    <w:rsid w:val="00A579B9"/>
    <w:rsid w:val="00A969E5"/>
    <w:rsid w:val="00AA1950"/>
    <w:rsid w:val="00AB526C"/>
    <w:rsid w:val="00AF428E"/>
    <w:rsid w:val="00AF5435"/>
    <w:rsid w:val="00B04291"/>
    <w:rsid w:val="00B20DEE"/>
    <w:rsid w:val="00B3065F"/>
    <w:rsid w:val="00B47979"/>
    <w:rsid w:val="00B520DC"/>
    <w:rsid w:val="00BD0BB3"/>
    <w:rsid w:val="00BE4F93"/>
    <w:rsid w:val="00C64AC6"/>
    <w:rsid w:val="00C96A01"/>
    <w:rsid w:val="00CB1094"/>
    <w:rsid w:val="00CB497D"/>
    <w:rsid w:val="00CB60C4"/>
    <w:rsid w:val="00CE241F"/>
    <w:rsid w:val="00CE4965"/>
    <w:rsid w:val="00D0021A"/>
    <w:rsid w:val="00D00477"/>
    <w:rsid w:val="00D02C9F"/>
    <w:rsid w:val="00D12AD9"/>
    <w:rsid w:val="00D21855"/>
    <w:rsid w:val="00D30001"/>
    <w:rsid w:val="00D352F2"/>
    <w:rsid w:val="00D566CC"/>
    <w:rsid w:val="00D821C9"/>
    <w:rsid w:val="00D907B7"/>
    <w:rsid w:val="00DB3653"/>
    <w:rsid w:val="00DC126D"/>
    <w:rsid w:val="00DC670F"/>
    <w:rsid w:val="00DD091E"/>
    <w:rsid w:val="00DD52D5"/>
    <w:rsid w:val="00DE2A56"/>
    <w:rsid w:val="00E12942"/>
    <w:rsid w:val="00E564CB"/>
    <w:rsid w:val="00E802C5"/>
    <w:rsid w:val="00E9694A"/>
    <w:rsid w:val="00E9776E"/>
    <w:rsid w:val="00EA46CC"/>
    <w:rsid w:val="00EE1491"/>
    <w:rsid w:val="00EE6FBD"/>
    <w:rsid w:val="00EF74F1"/>
    <w:rsid w:val="00F07D1E"/>
    <w:rsid w:val="00F10BC0"/>
    <w:rsid w:val="00F1605B"/>
    <w:rsid w:val="00F41999"/>
    <w:rsid w:val="00F453C4"/>
    <w:rsid w:val="00F67483"/>
    <w:rsid w:val="00F965A2"/>
    <w:rsid w:val="00FC2E1C"/>
    <w:rsid w:val="00FD543E"/>
    <w:rsid w:val="00FE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C882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04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0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04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04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04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04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04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04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04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04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04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04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04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04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04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04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04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04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04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0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4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04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0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04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04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04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04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04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049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07D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D1E"/>
  </w:style>
  <w:style w:type="paragraph" w:styleId="Footer">
    <w:name w:val="footer"/>
    <w:basedOn w:val="Normal"/>
    <w:link w:val="FooterChar"/>
    <w:uiPriority w:val="99"/>
    <w:unhideWhenUsed/>
    <w:rsid w:val="00F07D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D1E"/>
  </w:style>
  <w:style w:type="paragraph" w:styleId="Revision">
    <w:name w:val="Revision"/>
    <w:hidden/>
    <w:uiPriority w:val="99"/>
    <w:semiHidden/>
    <w:rsid w:val="00C64AC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D41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41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41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1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1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2088</Words>
  <Characters>1191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2025-07-10T10:45:00Z</dcterms:created>
  <dcterms:modified xsi:type="dcterms:W3CDTF">2025-07-10T10:46:00Z</dcterms:modified>
</cp:coreProperties>
</file>