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6E081" w14:textId="77777777" w:rsidR="008D5551" w:rsidRPr="008D5551" w:rsidRDefault="008D5551" w:rsidP="008D5551">
      <w:pPr>
        <w:jc w:val="both"/>
        <w:rPr>
          <w:rFonts w:ascii="Arial" w:hAnsi="Arial" w:cs="Arial"/>
          <w:b/>
          <w:bCs/>
          <w:sz w:val="22"/>
          <w:szCs w:val="22"/>
          <w:lang w:val="en-US"/>
        </w:rPr>
      </w:pPr>
      <w:r w:rsidRPr="008D5551">
        <w:rPr>
          <w:rFonts w:ascii="Arial" w:hAnsi="Arial" w:cs="Arial"/>
          <w:b/>
          <w:bCs/>
          <w:sz w:val="22"/>
          <w:szCs w:val="22"/>
        </w:rPr>
        <w:t>Banko atstovas: ką turėtumėte žinoti, kad vartojimo paskolą gautumėte lengviau? </w:t>
      </w:r>
      <w:r w:rsidRPr="008D5551">
        <w:rPr>
          <w:rFonts w:ascii="Arial" w:hAnsi="Arial" w:cs="Arial"/>
          <w:b/>
          <w:bCs/>
          <w:sz w:val="22"/>
          <w:szCs w:val="22"/>
          <w:lang w:val="en-US"/>
        </w:rPr>
        <w:t> </w:t>
      </w:r>
    </w:p>
    <w:p w14:paraId="36EF5CCD" w14:textId="77777777" w:rsidR="008D5551" w:rsidRPr="008D5551" w:rsidRDefault="008D5551" w:rsidP="008D5551">
      <w:pPr>
        <w:jc w:val="both"/>
        <w:rPr>
          <w:rFonts w:ascii="Arial" w:hAnsi="Arial" w:cs="Arial"/>
          <w:b/>
          <w:bCs/>
          <w:sz w:val="22"/>
          <w:szCs w:val="22"/>
          <w:lang w:val="en-US"/>
        </w:rPr>
      </w:pPr>
      <w:r w:rsidRPr="008D5551">
        <w:rPr>
          <w:rFonts w:ascii="Arial" w:hAnsi="Arial" w:cs="Arial"/>
          <w:b/>
          <w:bCs/>
          <w:sz w:val="22"/>
          <w:szCs w:val="22"/>
        </w:rPr>
        <w:t>Lietuvos vartojimo paskolų rinka šiuo metu sparčiai auga – per pirmąjį šių metų pusmetį naujų vartojimo paskolų mūsų šalyje buvo išduota už 1,036 mlrd. eurų. Vis tik gyventojai, besikreipiantys dėl paskolos į banką, gali išgirsti ir neigiamą atsakymą. Nuo ko tai priklauso ir ką daryti, kad prireikus vartojimo paskolą gautumėte lengviau? </w:t>
      </w:r>
      <w:r w:rsidRPr="008D5551">
        <w:rPr>
          <w:rFonts w:ascii="Arial" w:hAnsi="Arial" w:cs="Arial"/>
          <w:b/>
          <w:bCs/>
          <w:sz w:val="22"/>
          <w:szCs w:val="22"/>
          <w:lang w:val="en-US"/>
        </w:rPr>
        <w:t> </w:t>
      </w:r>
    </w:p>
    <w:p w14:paraId="17C7F732" w14:textId="77777777" w:rsidR="008D5551" w:rsidRPr="008D5551" w:rsidRDefault="008D5551" w:rsidP="008D5551">
      <w:pPr>
        <w:jc w:val="both"/>
        <w:rPr>
          <w:rFonts w:ascii="Arial" w:hAnsi="Arial" w:cs="Arial"/>
          <w:sz w:val="22"/>
          <w:szCs w:val="22"/>
          <w:lang w:val="en-US"/>
        </w:rPr>
      </w:pPr>
      <w:r w:rsidRPr="008D5551">
        <w:rPr>
          <w:rFonts w:ascii="Arial" w:hAnsi="Arial" w:cs="Arial"/>
          <w:sz w:val="22"/>
          <w:szCs w:val="22"/>
        </w:rPr>
        <w:t>Lyginant su pirmuoju praėjusių metų pusmečiu, kai šalies finansų įstaigos išdavė vartojimo paskolų už 480,7 mln. eurų, jų augimas siekia beveik 116 proc. Bendras vartojimo paskolų portfelis šiuo metu yra beveik 1,62 mlrd. eurų. </w:t>
      </w:r>
      <w:r w:rsidRPr="008D5551">
        <w:rPr>
          <w:rFonts w:ascii="Arial" w:hAnsi="Arial" w:cs="Arial"/>
          <w:sz w:val="22"/>
          <w:szCs w:val="22"/>
          <w:lang w:val="en-US"/>
        </w:rPr>
        <w:t> </w:t>
      </w:r>
    </w:p>
    <w:p w14:paraId="6D630105" w14:textId="6FB9DD1A" w:rsidR="008D5551" w:rsidRPr="008D5551" w:rsidRDefault="008D5551" w:rsidP="008D5551">
      <w:pPr>
        <w:jc w:val="both"/>
        <w:rPr>
          <w:rFonts w:ascii="Arial" w:hAnsi="Arial" w:cs="Arial"/>
          <w:sz w:val="22"/>
          <w:szCs w:val="22"/>
          <w:lang w:val="en-US"/>
        </w:rPr>
      </w:pPr>
      <w:r w:rsidRPr="008D5551">
        <w:rPr>
          <w:rFonts w:ascii="Arial" w:hAnsi="Arial" w:cs="Arial"/>
          <w:sz w:val="22"/>
          <w:szCs w:val="22"/>
        </w:rPr>
        <w:t>„Urbo“ banko Verslo tarnybos direktorius Julius Ivaška sako, jog tokį rinkos pagyvėjimą lėmė gyventojų pasitikėjimas savo finansinėmis galimybėmis ir palankesnės skolinimosi sąlygos, visų pirma – Europos centrinio banko (ECB) mažinama palūkanų norma. </w:t>
      </w:r>
      <w:r w:rsidRPr="008D5551">
        <w:rPr>
          <w:rFonts w:ascii="Arial" w:hAnsi="Arial" w:cs="Arial"/>
          <w:sz w:val="22"/>
          <w:szCs w:val="22"/>
          <w:lang w:val="en-US"/>
        </w:rPr>
        <w:t> </w:t>
      </w:r>
    </w:p>
    <w:p w14:paraId="0A2AFE14" w14:textId="77777777" w:rsidR="008D5551" w:rsidRPr="008D5551" w:rsidRDefault="008D5551" w:rsidP="008D5551">
      <w:pPr>
        <w:jc w:val="both"/>
        <w:rPr>
          <w:rFonts w:ascii="Arial" w:hAnsi="Arial" w:cs="Arial"/>
          <w:b/>
          <w:bCs/>
          <w:sz w:val="22"/>
          <w:szCs w:val="22"/>
          <w:lang w:val="en-US"/>
        </w:rPr>
      </w:pPr>
      <w:r w:rsidRPr="008D5551">
        <w:rPr>
          <w:rFonts w:ascii="Arial" w:hAnsi="Arial" w:cs="Arial"/>
          <w:b/>
          <w:bCs/>
          <w:sz w:val="22"/>
          <w:szCs w:val="22"/>
        </w:rPr>
        <w:t>Ne visi paskolų prašymai patvirtinami </w:t>
      </w:r>
      <w:r w:rsidRPr="008D5551">
        <w:rPr>
          <w:rFonts w:ascii="Arial" w:hAnsi="Arial" w:cs="Arial"/>
          <w:b/>
          <w:bCs/>
          <w:sz w:val="22"/>
          <w:szCs w:val="22"/>
          <w:lang w:val="en-US"/>
        </w:rPr>
        <w:t> </w:t>
      </w:r>
    </w:p>
    <w:p w14:paraId="2E61F00D" w14:textId="77777777" w:rsidR="008D5551" w:rsidRPr="008D5551" w:rsidRDefault="008D5551" w:rsidP="008D5551">
      <w:pPr>
        <w:jc w:val="both"/>
        <w:rPr>
          <w:rFonts w:ascii="Arial" w:hAnsi="Arial" w:cs="Arial"/>
          <w:sz w:val="22"/>
          <w:szCs w:val="22"/>
          <w:lang w:val="en-US"/>
        </w:rPr>
      </w:pPr>
      <w:r w:rsidRPr="008D5551">
        <w:rPr>
          <w:rFonts w:ascii="Arial" w:hAnsi="Arial" w:cs="Arial"/>
          <w:sz w:val="22"/>
          <w:szCs w:val="22"/>
        </w:rPr>
        <w:t>Žinoma, teigiamo atsakymo sulaukia toli gražu ne visos vartojimo paskolų paraiškos. Viena dažniausių priežasčių, kodėl jos yra atmetamos – nepakankamos arba nestabilios žmogaus pajamos. </w:t>
      </w:r>
      <w:r w:rsidRPr="008D5551">
        <w:rPr>
          <w:rFonts w:ascii="Arial" w:hAnsi="Arial" w:cs="Arial"/>
          <w:sz w:val="22"/>
          <w:szCs w:val="22"/>
          <w:lang w:val="en-US"/>
        </w:rPr>
        <w:t> </w:t>
      </w:r>
    </w:p>
    <w:p w14:paraId="7E42F1B2" w14:textId="77777777" w:rsidR="008D5551" w:rsidRPr="008D5551" w:rsidRDefault="008D5551" w:rsidP="008D5551">
      <w:pPr>
        <w:jc w:val="both"/>
        <w:rPr>
          <w:rFonts w:ascii="Arial" w:hAnsi="Arial" w:cs="Arial"/>
          <w:sz w:val="22"/>
          <w:szCs w:val="22"/>
          <w:lang w:val="en-US"/>
        </w:rPr>
      </w:pPr>
      <w:r w:rsidRPr="008D5551">
        <w:rPr>
          <w:rFonts w:ascii="Arial" w:hAnsi="Arial" w:cs="Arial"/>
          <w:sz w:val="22"/>
          <w:szCs w:val="22"/>
        </w:rPr>
        <w:t>„Bankai paprastai vertina ne tik žmogaus gaunamų pajamų dydį, bet ir jų reguliarumą bei patikimumą. Tarkim, pajamos, gautos iš pavienių projektų, sezoninio darbo ar nedeklaruotos veiklos, nepatikimomis laikomos gana dažnai. Taip pat net ir formaliai pakankamas uždarbis gali neįtikinti banko tuo atveju, jei jis nėra nuolatinis“, – pasakoja J. Ivaška. </w:t>
      </w:r>
      <w:r w:rsidRPr="008D5551">
        <w:rPr>
          <w:rFonts w:ascii="Arial" w:hAnsi="Arial" w:cs="Arial"/>
          <w:sz w:val="22"/>
          <w:szCs w:val="22"/>
          <w:lang w:val="en-US"/>
        </w:rPr>
        <w:t> </w:t>
      </w:r>
    </w:p>
    <w:p w14:paraId="693F24BC" w14:textId="77777777" w:rsidR="008D5551" w:rsidRPr="008D5551" w:rsidRDefault="008D5551" w:rsidP="008D5551">
      <w:pPr>
        <w:jc w:val="both"/>
        <w:rPr>
          <w:rFonts w:ascii="Arial" w:hAnsi="Arial" w:cs="Arial"/>
          <w:sz w:val="22"/>
          <w:szCs w:val="22"/>
          <w:lang w:val="en-US"/>
        </w:rPr>
      </w:pPr>
      <w:r w:rsidRPr="008D5551">
        <w:rPr>
          <w:rFonts w:ascii="Arial" w:hAnsi="Arial" w:cs="Arial"/>
          <w:sz w:val="22"/>
          <w:szCs w:val="22"/>
        </w:rPr>
        <w:t>Banko atstovas pabrėžia, kad tokiais atvejais labai svarbu kredito įstaigai pateikti išsamius pajamų įrodymus – metines pajamų deklaracijas, banko sąskaitų išrašus bei darbo sutartis. Jei įmanoma, verta iš anksto padidinti oficialiai deklaruojamas pajamas, o turint stabilias pajamas gaunantį partnerį, naudinga teikti bendrą vartojimo paskolos paraišką. </w:t>
      </w:r>
      <w:r w:rsidRPr="008D5551">
        <w:rPr>
          <w:rFonts w:ascii="Arial" w:hAnsi="Arial" w:cs="Arial"/>
          <w:sz w:val="22"/>
          <w:szCs w:val="22"/>
          <w:lang w:val="en-US"/>
        </w:rPr>
        <w:t> </w:t>
      </w:r>
    </w:p>
    <w:p w14:paraId="36712FDE" w14:textId="77777777" w:rsidR="008D5551" w:rsidRPr="008D5551" w:rsidRDefault="008D5551" w:rsidP="008D5551">
      <w:pPr>
        <w:jc w:val="both"/>
        <w:rPr>
          <w:rFonts w:ascii="Arial" w:hAnsi="Arial" w:cs="Arial"/>
          <w:b/>
          <w:bCs/>
          <w:sz w:val="22"/>
          <w:szCs w:val="22"/>
          <w:lang w:val="en-US"/>
        </w:rPr>
      </w:pPr>
      <w:r w:rsidRPr="008D5551">
        <w:rPr>
          <w:rFonts w:ascii="Arial" w:hAnsi="Arial" w:cs="Arial"/>
          <w:b/>
          <w:bCs/>
          <w:sz w:val="22"/>
          <w:szCs w:val="22"/>
        </w:rPr>
        <w:t>Praeities klaidos </w:t>
      </w:r>
      <w:r w:rsidRPr="008D5551">
        <w:rPr>
          <w:rFonts w:ascii="Arial" w:hAnsi="Arial" w:cs="Arial"/>
          <w:b/>
          <w:bCs/>
          <w:sz w:val="22"/>
          <w:szCs w:val="22"/>
          <w:lang w:val="en-US"/>
        </w:rPr>
        <w:t> </w:t>
      </w:r>
    </w:p>
    <w:p w14:paraId="2F461CE2" w14:textId="77777777" w:rsidR="008D5551" w:rsidRPr="008D5551" w:rsidRDefault="008D5551" w:rsidP="008D5551">
      <w:pPr>
        <w:jc w:val="both"/>
        <w:rPr>
          <w:rFonts w:ascii="Arial" w:hAnsi="Arial" w:cs="Arial"/>
          <w:sz w:val="22"/>
          <w:szCs w:val="22"/>
          <w:lang w:val="en-US"/>
        </w:rPr>
      </w:pPr>
      <w:r w:rsidRPr="008D5551">
        <w:rPr>
          <w:rFonts w:ascii="Arial" w:hAnsi="Arial" w:cs="Arial"/>
          <w:sz w:val="22"/>
          <w:szCs w:val="22"/>
        </w:rPr>
        <w:t>Dar viena svarbi priežastis, galinti užtrenkti banko duris ieškant galimybės pasiskolinti – neigiama kredito istorija. </w:t>
      </w:r>
      <w:r w:rsidRPr="008D5551">
        <w:rPr>
          <w:rFonts w:ascii="Arial" w:hAnsi="Arial" w:cs="Arial"/>
          <w:sz w:val="22"/>
          <w:szCs w:val="22"/>
          <w:lang w:val="en-US"/>
        </w:rPr>
        <w:t> </w:t>
      </w:r>
    </w:p>
    <w:p w14:paraId="2FCEDDA6" w14:textId="77777777" w:rsidR="008D5551" w:rsidRPr="008D5551" w:rsidRDefault="008D5551" w:rsidP="008D5551">
      <w:pPr>
        <w:jc w:val="both"/>
        <w:rPr>
          <w:rFonts w:ascii="Arial" w:hAnsi="Arial" w:cs="Arial"/>
          <w:sz w:val="22"/>
          <w:szCs w:val="22"/>
          <w:lang w:val="en-US"/>
        </w:rPr>
      </w:pPr>
      <w:r w:rsidRPr="008D5551">
        <w:rPr>
          <w:rFonts w:ascii="Arial" w:hAnsi="Arial" w:cs="Arial"/>
          <w:sz w:val="22"/>
          <w:szCs w:val="22"/>
        </w:rPr>
        <w:t>„Ne pagal nustatytą grafiką, vėluojant grąžinti kreditai gali palikti neigiamą, net iki 10 metų kredito ataskaitose išliekantį pėdsaką. Taip pat rimta kliūtimi gauti paskolą gali tapti ir faktas, kad žmogus kažkada turėjo skolų išieškojimo bylų ar į jį kreipėsi antstoliai. Paprastai bankai vertina ne tik patį skolos faktą, bet ir visą skolinimosi elgsenos modelį – ar buvo vėlavimų, delspinigių, ginčų“, – pastebi J. Ivaška, pridurdamas, kad prieš teikiant paskolos paraišką reikėtų patikrinti savo kredito ataskaitą – įsitikinti, kad joje nėra klaidų ar senų, bet vis dar galiojančių neigiamų įrašų. </w:t>
      </w:r>
      <w:r w:rsidRPr="008D5551">
        <w:rPr>
          <w:rFonts w:ascii="Arial" w:hAnsi="Arial" w:cs="Arial"/>
          <w:sz w:val="22"/>
          <w:szCs w:val="22"/>
          <w:lang w:val="en-US"/>
        </w:rPr>
        <w:t> </w:t>
      </w:r>
    </w:p>
    <w:p w14:paraId="2E19F116" w14:textId="77777777" w:rsidR="008D5551" w:rsidRPr="008D5551" w:rsidRDefault="008D5551" w:rsidP="008D5551">
      <w:pPr>
        <w:jc w:val="both"/>
        <w:rPr>
          <w:rFonts w:ascii="Arial" w:hAnsi="Arial" w:cs="Arial"/>
          <w:b/>
          <w:bCs/>
          <w:sz w:val="22"/>
          <w:szCs w:val="22"/>
          <w:lang w:val="en-US"/>
        </w:rPr>
      </w:pPr>
      <w:r w:rsidRPr="008D5551">
        <w:rPr>
          <w:rFonts w:ascii="Arial" w:hAnsi="Arial" w:cs="Arial"/>
          <w:b/>
          <w:bCs/>
          <w:sz w:val="22"/>
          <w:szCs w:val="22"/>
        </w:rPr>
        <w:t>Kliūčių būna ir daugiau </w:t>
      </w:r>
      <w:r w:rsidRPr="008D5551">
        <w:rPr>
          <w:rFonts w:ascii="Arial" w:hAnsi="Arial" w:cs="Arial"/>
          <w:b/>
          <w:bCs/>
          <w:sz w:val="22"/>
          <w:szCs w:val="22"/>
          <w:lang w:val="en-US"/>
        </w:rPr>
        <w:t> </w:t>
      </w:r>
    </w:p>
    <w:p w14:paraId="3442B348" w14:textId="77777777" w:rsidR="008D5551" w:rsidRPr="008D5551" w:rsidRDefault="008D5551" w:rsidP="008D5551">
      <w:pPr>
        <w:jc w:val="both"/>
        <w:rPr>
          <w:rFonts w:ascii="Arial" w:hAnsi="Arial" w:cs="Arial"/>
          <w:sz w:val="22"/>
          <w:szCs w:val="22"/>
          <w:lang w:val="en-US"/>
        </w:rPr>
      </w:pPr>
      <w:r w:rsidRPr="008D5551">
        <w:rPr>
          <w:rFonts w:ascii="Arial" w:hAnsi="Arial" w:cs="Arial"/>
          <w:sz w:val="22"/>
          <w:szCs w:val="22"/>
        </w:rPr>
        <w:t>Dar viena kliūtimi gali tapti pernelyg didelis jau prisiimtų finansinių įsipareigojimų lygis. Lietuvoje galiojantis standartas numato, kad visų finansinių įsipareigojimų – įskaitant paskolas, kredito korteles, lizingus – suma neturėtų viršyti 40 proc. mėnesinių pajamų. Jei ši riba viršijama, paskolos paraiška gali būti atmesta. </w:t>
      </w:r>
      <w:r w:rsidRPr="008D5551">
        <w:rPr>
          <w:rFonts w:ascii="Arial" w:hAnsi="Arial" w:cs="Arial"/>
          <w:sz w:val="22"/>
          <w:szCs w:val="22"/>
          <w:lang w:val="en-US"/>
        </w:rPr>
        <w:t> </w:t>
      </w:r>
    </w:p>
    <w:p w14:paraId="7DE4A645" w14:textId="77777777" w:rsidR="008D5551" w:rsidRPr="008D5551" w:rsidRDefault="008D5551" w:rsidP="008D5551">
      <w:pPr>
        <w:jc w:val="both"/>
        <w:rPr>
          <w:rFonts w:ascii="Arial" w:hAnsi="Arial" w:cs="Arial"/>
          <w:sz w:val="22"/>
          <w:szCs w:val="22"/>
          <w:lang w:val="en-US"/>
        </w:rPr>
      </w:pPr>
      <w:r w:rsidRPr="008D5551">
        <w:rPr>
          <w:rFonts w:ascii="Arial" w:hAnsi="Arial" w:cs="Arial"/>
          <w:sz w:val="22"/>
          <w:szCs w:val="22"/>
        </w:rPr>
        <w:t xml:space="preserve">„Tiesa, šių metų gegužės 27 d. Lietuvos vyriausiasis administracinis teismas šią nuostatą pripažino prieštaraujančia Konstitucijai, tad ji įstatymiškai nebegalioja, nors kaip orientyras vis </w:t>
      </w:r>
      <w:r w:rsidRPr="008D5551">
        <w:rPr>
          <w:rFonts w:ascii="Arial" w:hAnsi="Arial" w:cs="Arial"/>
          <w:sz w:val="22"/>
          <w:szCs w:val="22"/>
        </w:rPr>
        <w:lastRenderedPageBreak/>
        <w:t>vien yra naudingas pačiam žmogui, skaičiuojančiam, ar iš tiesų verta prisiimti dar vieną finansinį įsipareigojimą“, – svarsto J. Ivaška. </w:t>
      </w:r>
      <w:r w:rsidRPr="008D5551">
        <w:rPr>
          <w:rFonts w:ascii="Arial" w:hAnsi="Arial" w:cs="Arial"/>
          <w:sz w:val="22"/>
          <w:szCs w:val="22"/>
          <w:lang w:val="en-US"/>
        </w:rPr>
        <w:t> </w:t>
      </w:r>
    </w:p>
    <w:p w14:paraId="47CBB275" w14:textId="77777777" w:rsidR="008D5551" w:rsidRPr="008D5551" w:rsidRDefault="008D5551" w:rsidP="008D5551">
      <w:pPr>
        <w:jc w:val="both"/>
        <w:rPr>
          <w:rFonts w:ascii="Arial" w:hAnsi="Arial" w:cs="Arial"/>
          <w:sz w:val="22"/>
          <w:szCs w:val="22"/>
          <w:lang w:val="en-US"/>
        </w:rPr>
      </w:pPr>
      <w:r w:rsidRPr="008D5551">
        <w:rPr>
          <w:rFonts w:ascii="Arial" w:hAnsi="Arial" w:cs="Arial"/>
          <w:sz w:val="22"/>
          <w:szCs w:val="22"/>
        </w:rPr>
        <w:t>Pasak banko atstovo, sekti savo finansinę situaciją ir įsivertinti mėnesinių įmokų santykį su pajamomis padės tvarkingai sudarytas šeimos biudžetas, kuriame aiškiai matyti pajamos, išlaidos ir įsipareigojimai. J. Ivaška pabrėžia, jog toks biudžetas naudingas ne tik ruošiantis imti paskolą, bet ir planuojant kasdienes išlaidas. </w:t>
      </w:r>
      <w:r w:rsidRPr="008D5551">
        <w:rPr>
          <w:rFonts w:ascii="Arial" w:hAnsi="Arial" w:cs="Arial"/>
          <w:sz w:val="22"/>
          <w:szCs w:val="22"/>
          <w:lang w:val="en-US"/>
        </w:rPr>
        <w:t> </w:t>
      </w:r>
    </w:p>
    <w:p w14:paraId="6C8A030D" w14:textId="3CF6B258" w:rsidR="008D5551" w:rsidRPr="008D5551" w:rsidRDefault="008D5551" w:rsidP="008D5551">
      <w:pPr>
        <w:jc w:val="both"/>
        <w:rPr>
          <w:rFonts w:ascii="Arial" w:hAnsi="Arial" w:cs="Arial"/>
          <w:b/>
          <w:bCs/>
          <w:sz w:val="22"/>
          <w:szCs w:val="22"/>
          <w:lang w:val="en-US"/>
        </w:rPr>
      </w:pPr>
      <w:r w:rsidRPr="008D5551">
        <w:rPr>
          <w:rFonts w:ascii="Arial" w:hAnsi="Arial" w:cs="Arial"/>
          <w:b/>
          <w:bCs/>
          <w:sz w:val="22"/>
          <w:szCs w:val="22"/>
        </w:rPr>
        <w:t>Verta išbandyti kelis variantus </w:t>
      </w:r>
      <w:r w:rsidRPr="008D5551">
        <w:rPr>
          <w:rFonts w:ascii="Arial" w:hAnsi="Arial" w:cs="Arial"/>
          <w:b/>
          <w:bCs/>
          <w:sz w:val="22"/>
          <w:szCs w:val="22"/>
          <w:lang w:val="en-US"/>
        </w:rPr>
        <w:t> </w:t>
      </w:r>
    </w:p>
    <w:p w14:paraId="05A3EDAE" w14:textId="77777777" w:rsidR="008D5551" w:rsidRPr="008D5551" w:rsidRDefault="008D5551" w:rsidP="008D5551">
      <w:pPr>
        <w:jc w:val="both"/>
        <w:rPr>
          <w:rFonts w:ascii="Arial" w:hAnsi="Arial" w:cs="Arial"/>
          <w:sz w:val="22"/>
          <w:szCs w:val="22"/>
          <w:lang w:val="en-US"/>
        </w:rPr>
      </w:pPr>
      <w:r w:rsidRPr="008D5551">
        <w:rPr>
          <w:rFonts w:ascii="Arial" w:hAnsi="Arial" w:cs="Arial"/>
          <w:sz w:val="22"/>
          <w:szCs w:val="22"/>
        </w:rPr>
        <w:t>J. Ivaška taip pat pabrėžia, kad kiekviena finansų įstaiga turi ir savo vidinius algoritmus, taisykles bei rizikos vertinimo modelius, kurie gali skirtis. Kitaip tariant – visiškai įmanoma, kad vienur vartojimo paskolos paraiška bus atmesta, o kitur – patvirtinta. </w:t>
      </w:r>
      <w:r w:rsidRPr="008D5551">
        <w:rPr>
          <w:rFonts w:ascii="Arial" w:hAnsi="Arial" w:cs="Arial"/>
          <w:sz w:val="22"/>
          <w:szCs w:val="22"/>
          <w:lang w:val="en-US"/>
        </w:rPr>
        <w:t> </w:t>
      </w:r>
    </w:p>
    <w:p w14:paraId="7CE1EBAC" w14:textId="77777777" w:rsidR="008D5551" w:rsidRPr="008D5551" w:rsidRDefault="008D5551" w:rsidP="008D5551">
      <w:pPr>
        <w:jc w:val="both"/>
        <w:rPr>
          <w:rFonts w:ascii="Arial" w:hAnsi="Arial" w:cs="Arial"/>
          <w:sz w:val="22"/>
          <w:szCs w:val="22"/>
          <w:lang w:val="en-US"/>
        </w:rPr>
      </w:pPr>
      <w:r w:rsidRPr="008D5551">
        <w:rPr>
          <w:rFonts w:ascii="Arial" w:hAnsi="Arial" w:cs="Arial"/>
          <w:sz w:val="22"/>
          <w:szCs w:val="22"/>
        </w:rPr>
        <w:t>„Vienas bankas gali būti nusistatęs mažesnį skolos limitą, kitame gali būti aukštesnis minimalių per mėnesį gaunamų pajamų „slenkstis“, dar kitas – pareikalaus papildomų garantijų. Nė vienas šių kriterijų nereiškia, kad paraiška iš esmės buvo bloga – ji tiesiog nesutapo su konkretaus banko rizikos kriterijais“, – pastebi J. Ivaška. </w:t>
      </w:r>
      <w:r w:rsidRPr="008D5551">
        <w:rPr>
          <w:rFonts w:ascii="Arial" w:hAnsi="Arial" w:cs="Arial"/>
          <w:sz w:val="22"/>
          <w:szCs w:val="22"/>
          <w:lang w:val="en-US"/>
        </w:rPr>
        <w:t> </w:t>
      </w:r>
    </w:p>
    <w:p w14:paraId="021B1FEC" w14:textId="77777777" w:rsidR="008D5551" w:rsidRPr="008D5551" w:rsidRDefault="008D5551" w:rsidP="008D5551">
      <w:pPr>
        <w:jc w:val="both"/>
        <w:rPr>
          <w:rFonts w:ascii="Arial" w:hAnsi="Arial" w:cs="Arial"/>
          <w:sz w:val="22"/>
          <w:szCs w:val="22"/>
          <w:lang w:val="en-US"/>
        </w:rPr>
      </w:pPr>
      <w:r w:rsidRPr="008D5551">
        <w:rPr>
          <w:rFonts w:ascii="Arial" w:hAnsi="Arial" w:cs="Arial"/>
          <w:sz w:val="22"/>
          <w:szCs w:val="22"/>
        </w:rPr>
        <w:t>Jis rekomenduoja, gavus neigiamą atsakymą, nenuleisti rankų, o kreiptis į kelias skirtingas įstaigas. </w:t>
      </w:r>
      <w:r w:rsidRPr="008D5551">
        <w:rPr>
          <w:rFonts w:ascii="Arial" w:hAnsi="Arial" w:cs="Arial"/>
          <w:sz w:val="22"/>
          <w:szCs w:val="22"/>
          <w:lang w:val="en-US"/>
        </w:rPr>
        <w:t> </w:t>
      </w:r>
    </w:p>
    <w:p w14:paraId="65A44CB7" w14:textId="77777777" w:rsidR="008D5551" w:rsidRPr="008D5551" w:rsidRDefault="008D5551" w:rsidP="008D5551">
      <w:pPr>
        <w:jc w:val="both"/>
        <w:rPr>
          <w:rFonts w:ascii="Arial" w:hAnsi="Arial" w:cs="Arial"/>
          <w:sz w:val="22"/>
          <w:szCs w:val="22"/>
          <w:lang w:val="en-US"/>
        </w:rPr>
      </w:pPr>
      <w:r w:rsidRPr="008D5551">
        <w:rPr>
          <w:rFonts w:ascii="Arial" w:hAnsi="Arial" w:cs="Arial"/>
          <w:sz w:val="22"/>
          <w:szCs w:val="22"/>
        </w:rPr>
        <w:t>„Daugelis kliūčių tikrai įveikiamos – tinkamai pasiruošus, susitvarkius finansus ir pasidomėjus rinkos sąlygomis, tikimybė gauti paskolą gerokai padidėja. Žinoma, visuomet pradėti reikėtų nuo to, ar paskola išties reikalinga. Kaip priemonė pagerinti savo gyvenimo kokybę ji išties efektyvi, bet tik tuo atveju, jei priimami atsakingi, logiški ir skaičiais pagrįsti sprendimai“, – pabrėžia J. Ivaška. </w:t>
      </w:r>
      <w:r w:rsidRPr="008D5551">
        <w:rPr>
          <w:rFonts w:ascii="Arial" w:hAnsi="Arial" w:cs="Arial"/>
          <w:sz w:val="22"/>
          <w:szCs w:val="22"/>
          <w:lang w:val="en-US"/>
        </w:rPr>
        <w:t> </w:t>
      </w:r>
    </w:p>
    <w:p w14:paraId="74C511F8" w14:textId="2A251DEE" w:rsidR="002E5FB5" w:rsidRDefault="002E5FB5" w:rsidP="00F874A9">
      <w:pPr>
        <w:rPr>
          <w:rFonts w:ascii="Arial" w:hAnsi="Arial" w:cs="Arial"/>
          <w:sz w:val="20"/>
          <w:szCs w:val="20"/>
          <w:lang w:val="pt-PT"/>
        </w:rPr>
      </w:pPr>
      <w:r w:rsidRPr="002E5FB5">
        <w:rPr>
          <w:rFonts w:ascii="Arial" w:hAnsi="Arial" w:cs="Arial"/>
          <w:b/>
          <w:bCs/>
          <w:sz w:val="20"/>
          <w:szCs w:val="20"/>
        </w:rPr>
        <w:t>Daugiau informacijos:</w:t>
      </w:r>
      <w:r w:rsidRPr="002E5FB5">
        <w:rPr>
          <w:rFonts w:ascii="Arial" w:hAnsi="Arial" w:cs="Arial"/>
          <w:b/>
          <w:bCs/>
          <w:sz w:val="20"/>
          <w:szCs w:val="20"/>
        </w:rPr>
        <w:br/>
      </w:r>
      <w:r w:rsidR="006959C8">
        <w:rPr>
          <w:rFonts w:ascii="Arial" w:hAnsi="Arial" w:cs="Arial"/>
          <w:sz w:val="20"/>
          <w:szCs w:val="20"/>
        </w:rPr>
        <w:t>Beatričė Mikšytė</w:t>
      </w:r>
      <w:r>
        <w:rPr>
          <w:rFonts w:ascii="Arial" w:hAnsi="Arial" w:cs="Arial"/>
          <w:sz w:val="20"/>
          <w:szCs w:val="20"/>
        </w:rPr>
        <w:br/>
        <w:t>+370</w:t>
      </w:r>
      <w:r w:rsidR="006959C8">
        <w:rPr>
          <w:rFonts w:ascii="Arial" w:hAnsi="Arial" w:cs="Arial"/>
          <w:sz w:val="20"/>
          <w:szCs w:val="20"/>
        </w:rPr>
        <w:t> </w:t>
      </w:r>
      <w:r>
        <w:rPr>
          <w:rFonts w:ascii="Arial" w:hAnsi="Arial" w:cs="Arial"/>
          <w:sz w:val="20"/>
          <w:szCs w:val="20"/>
        </w:rPr>
        <w:t>6</w:t>
      </w:r>
      <w:r w:rsidR="006959C8">
        <w:rPr>
          <w:rFonts w:ascii="Arial" w:hAnsi="Arial" w:cs="Arial"/>
          <w:sz w:val="20"/>
          <w:szCs w:val="20"/>
        </w:rPr>
        <w:t>35 37 649</w:t>
      </w:r>
      <w:r>
        <w:rPr>
          <w:rFonts w:ascii="Arial" w:hAnsi="Arial" w:cs="Arial"/>
          <w:sz w:val="20"/>
          <w:szCs w:val="20"/>
          <w:lang w:val="pt-PT"/>
        </w:rPr>
        <w:br/>
      </w:r>
      <w:hyperlink r:id="rId7" w:history="1">
        <w:r w:rsidR="006959C8" w:rsidRPr="00FE0167">
          <w:rPr>
            <w:rStyle w:val="Hyperlink"/>
            <w:rFonts w:ascii="Arial" w:hAnsi="Arial" w:cs="Arial"/>
            <w:sz w:val="20"/>
            <w:szCs w:val="20"/>
            <w:lang w:val="pt-PT"/>
          </w:rPr>
          <w:t>beatrice@ideaprima.lt</w:t>
        </w:r>
      </w:hyperlink>
    </w:p>
    <w:p w14:paraId="4FC1A4FB" w14:textId="77777777" w:rsidR="002E5FB5" w:rsidRPr="00671295" w:rsidRDefault="002E5FB5" w:rsidP="00395C55">
      <w:pPr>
        <w:jc w:val="both"/>
        <w:rPr>
          <w:rFonts w:ascii="Arial" w:hAnsi="Arial" w:cs="Arial"/>
          <w:sz w:val="22"/>
          <w:szCs w:val="22"/>
        </w:rPr>
      </w:pPr>
    </w:p>
    <w:sectPr w:rsidR="002E5FB5" w:rsidRPr="00671295" w:rsidSect="00671295">
      <w:headerReference w:type="default" r:id="rId8"/>
      <w:pgSz w:w="11906" w:h="16838"/>
      <w:pgMar w:top="1701" w:right="991"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EE542" w14:textId="77777777" w:rsidR="000E5B12" w:rsidRDefault="000E5B12" w:rsidP="0080209C">
      <w:pPr>
        <w:spacing w:after="0" w:line="240" w:lineRule="auto"/>
      </w:pPr>
      <w:r>
        <w:separator/>
      </w:r>
    </w:p>
  </w:endnote>
  <w:endnote w:type="continuationSeparator" w:id="0">
    <w:p w14:paraId="7516D8E0" w14:textId="77777777" w:rsidR="000E5B12" w:rsidRDefault="000E5B12" w:rsidP="0080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AF5E4" w14:textId="77777777" w:rsidR="000E5B12" w:rsidRDefault="000E5B12" w:rsidP="0080209C">
      <w:pPr>
        <w:spacing w:after="0" w:line="240" w:lineRule="auto"/>
      </w:pPr>
      <w:r>
        <w:separator/>
      </w:r>
    </w:p>
  </w:footnote>
  <w:footnote w:type="continuationSeparator" w:id="0">
    <w:p w14:paraId="5FAB92C2" w14:textId="77777777" w:rsidR="000E5B12" w:rsidRDefault="000E5B12" w:rsidP="00802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67D2D" w14:textId="77777777" w:rsidR="0080209C" w:rsidRPr="00191D29" w:rsidRDefault="0080209C" w:rsidP="0080209C">
    <w:pPr>
      <w:pStyle w:val="Header"/>
      <w:rPr>
        <w:rFonts w:asciiTheme="majorHAnsi" w:hAnsiTheme="majorHAnsi" w:cs="Poppins"/>
        <w:color w:val="808080" w:themeColor="background1" w:themeShade="80"/>
        <w:sz w:val="20"/>
        <w:szCs w:val="20"/>
      </w:rPr>
    </w:pPr>
    <w:r w:rsidRPr="00191D29">
      <w:rPr>
        <w:rFonts w:asciiTheme="majorHAnsi" w:hAnsiTheme="majorHAnsi" w:cs="Poppins"/>
        <w:noProof/>
        <w:color w:val="808080" w:themeColor="background1" w:themeShade="80"/>
        <w:sz w:val="20"/>
        <w:szCs w:val="20"/>
      </w:rPr>
      <w:drawing>
        <wp:anchor distT="0" distB="0" distL="114300" distR="114300" simplePos="0" relativeHeight="251659264" behindDoc="1" locked="0" layoutInCell="1" allowOverlap="1" wp14:anchorId="1988124A" wp14:editId="14326E23">
          <wp:simplePos x="0" y="0"/>
          <wp:positionH relativeFrom="margin">
            <wp:posOffset>4612005</wp:posOffset>
          </wp:positionH>
          <wp:positionV relativeFrom="paragraph">
            <wp:posOffset>10160</wp:posOffset>
          </wp:positionV>
          <wp:extent cx="1363980" cy="367165"/>
          <wp:effectExtent l="0" t="0" r="7620" b="0"/>
          <wp:wrapNone/>
          <wp:docPr id="58"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1" descr="A green and black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63980" cy="367165"/>
                  </a:xfrm>
                  <a:prstGeom prst="rect">
                    <a:avLst/>
                  </a:prstGeom>
                </pic:spPr>
              </pic:pic>
            </a:graphicData>
          </a:graphic>
          <wp14:sizeRelH relativeFrom="margin">
            <wp14:pctWidth>0</wp14:pctWidth>
          </wp14:sizeRelH>
          <wp14:sizeRelV relativeFrom="margin">
            <wp14:pctHeight>0</wp14:pctHeight>
          </wp14:sizeRelV>
        </wp:anchor>
      </w:drawing>
    </w:r>
    <w:r w:rsidRPr="00191D29">
      <w:rPr>
        <w:rFonts w:asciiTheme="majorHAnsi" w:hAnsiTheme="majorHAnsi" w:cs="Poppins"/>
        <w:color w:val="808080" w:themeColor="background1" w:themeShade="80"/>
        <w:sz w:val="20"/>
        <w:szCs w:val="20"/>
      </w:rPr>
      <w:t>Pranešimas žiniasklaidai</w:t>
    </w:r>
  </w:p>
  <w:p w14:paraId="70BCE41D" w14:textId="2B58664E" w:rsidR="0080209C" w:rsidRPr="00F36C0C" w:rsidRDefault="0080209C" w:rsidP="0080209C">
    <w:pPr>
      <w:pStyle w:val="Header"/>
      <w:rPr>
        <w:rFonts w:asciiTheme="majorHAnsi" w:hAnsiTheme="majorHAnsi" w:cs="Poppins"/>
        <w:color w:val="808080" w:themeColor="background1" w:themeShade="80"/>
        <w:sz w:val="20"/>
        <w:szCs w:val="20"/>
      </w:rPr>
    </w:pPr>
    <w:r w:rsidRPr="00191D29">
      <w:rPr>
        <w:rFonts w:asciiTheme="majorHAnsi" w:hAnsiTheme="majorHAnsi" w:cs="Poppins"/>
        <w:color w:val="808080" w:themeColor="background1" w:themeShade="80"/>
        <w:sz w:val="20"/>
        <w:szCs w:val="20"/>
      </w:rPr>
      <w:t xml:space="preserve">2025 m. </w:t>
    </w:r>
    <w:r w:rsidR="00A31B66">
      <w:rPr>
        <w:rFonts w:asciiTheme="majorHAnsi" w:hAnsiTheme="majorHAnsi" w:cs="Poppins"/>
        <w:color w:val="808080" w:themeColor="background1" w:themeShade="80"/>
        <w:sz w:val="20"/>
        <w:szCs w:val="20"/>
      </w:rPr>
      <w:t>rugpjūčio</w:t>
    </w:r>
    <w:r>
      <w:rPr>
        <w:rFonts w:asciiTheme="majorHAnsi" w:hAnsiTheme="majorHAnsi" w:cs="Poppins"/>
        <w:color w:val="808080" w:themeColor="background1" w:themeShade="80"/>
        <w:sz w:val="20"/>
        <w:szCs w:val="20"/>
      </w:rPr>
      <w:t xml:space="preserve"> </w:t>
    </w:r>
    <w:r w:rsidR="006960DB">
      <w:rPr>
        <w:rFonts w:asciiTheme="majorHAnsi" w:hAnsiTheme="majorHAnsi" w:cs="Poppins"/>
        <w:color w:val="808080" w:themeColor="background1" w:themeShade="80"/>
        <w:sz w:val="20"/>
        <w:szCs w:val="20"/>
        <w:lang w:val="en-US"/>
      </w:rPr>
      <w:t>21</w:t>
    </w:r>
    <w:r w:rsidR="00C27434">
      <w:rPr>
        <w:rFonts w:asciiTheme="majorHAnsi" w:hAnsiTheme="majorHAnsi" w:cs="Poppins"/>
        <w:color w:val="808080" w:themeColor="background1" w:themeShade="80"/>
        <w:sz w:val="20"/>
        <w:szCs w:val="20"/>
        <w:lang w:val="en-US"/>
      </w:rPr>
      <w:t xml:space="preserve"> </w:t>
    </w:r>
    <w:r>
      <w:rPr>
        <w:rFonts w:asciiTheme="majorHAnsi" w:hAnsiTheme="majorHAnsi" w:cs="Poppins"/>
        <w:color w:val="808080" w:themeColor="background1" w:themeShade="80"/>
        <w:sz w:val="20"/>
        <w:szCs w:val="20"/>
      </w:rPr>
      <w:t>d</w:t>
    </w:r>
    <w:r w:rsidRPr="00191D29">
      <w:rPr>
        <w:rFonts w:asciiTheme="majorHAnsi" w:hAnsiTheme="majorHAnsi" w:cs="Poppins"/>
        <w:color w:val="808080" w:themeColor="background1" w:themeShade="8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9935D8"/>
    <w:multiLevelType w:val="multilevel"/>
    <w:tmpl w:val="ABE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68554E"/>
    <w:multiLevelType w:val="multilevel"/>
    <w:tmpl w:val="B484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4684394">
    <w:abstractNumId w:val="0"/>
  </w:num>
  <w:num w:numId="2" w16cid:durableId="1263031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E5"/>
    <w:rsid w:val="0000476C"/>
    <w:rsid w:val="00034CD9"/>
    <w:rsid w:val="00051ABD"/>
    <w:rsid w:val="00052D29"/>
    <w:rsid w:val="00053FA7"/>
    <w:rsid w:val="0006398B"/>
    <w:rsid w:val="000748C3"/>
    <w:rsid w:val="00080FD2"/>
    <w:rsid w:val="0008154A"/>
    <w:rsid w:val="000823F6"/>
    <w:rsid w:val="00086E67"/>
    <w:rsid w:val="000A1147"/>
    <w:rsid w:val="000C5762"/>
    <w:rsid w:val="000D1EF3"/>
    <w:rsid w:val="000D3DA1"/>
    <w:rsid w:val="000E5B12"/>
    <w:rsid w:val="00105C81"/>
    <w:rsid w:val="00124F01"/>
    <w:rsid w:val="001250AF"/>
    <w:rsid w:val="0014124E"/>
    <w:rsid w:val="00141343"/>
    <w:rsid w:val="00150041"/>
    <w:rsid w:val="00171E5E"/>
    <w:rsid w:val="001770BB"/>
    <w:rsid w:val="001B31B5"/>
    <w:rsid w:val="001C2191"/>
    <w:rsid w:val="001D6334"/>
    <w:rsid w:val="001E5B77"/>
    <w:rsid w:val="001F65E7"/>
    <w:rsid w:val="001F6F96"/>
    <w:rsid w:val="002118CB"/>
    <w:rsid w:val="0023391E"/>
    <w:rsid w:val="0024380B"/>
    <w:rsid w:val="00274FA3"/>
    <w:rsid w:val="00287EFA"/>
    <w:rsid w:val="002B20E4"/>
    <w:rsid w:val="002C1C70"/>
    <w:rsid w:val="002C555F"/>
    <w:rsid w:val="002D5C21"/>
    <w:rsid w:val="002D5D26"/>
    <w:rsid w:val="002E5FB5"/>
    <w:rsid w:val="00302011"/>
    <w:rsid w:val="00306FD6"/>
    <w:rsid w:val="003226E6"/>
    <w:rsid w:val="00324446"/>
    <w:rsid w:val="00336D98"/>
    <w:rsid w:val="003402F5"/>
    <w:rsid w:val="003518A6"/>
    <w:rsid w:val="003620C0"/>
    <w:rsid w:val="003636AB"/>
    <w:rsid w:val="0036776F"/>
    <w:rsid w:val="003818C9"/>
    <w:rsid w:val="003863DB"/>
    <w:rsid w:val="00386CB9"/>
    <w:rsid w:val="00395C55"/>
    <w:rsid w:val="003A4160"/>
    <w:rsid w:val="003C0FF9"/>
    <w:rsid w:val="003D0553"/>
    <w:rsid w:val="003E11DD"/>
    <w:rsid w:val="003F0CEC"/>
    <w:rsid w:val="003F6964"/>
    <w:rsid w:val="004023F1"/>
    <w:rsid w:val="00417F11"/>
    <w:rsid w:val="00420852"/>
    <w:rsid w:val="00423B66"/>
    <w:rsid w:val="00432CD5"/>
    <w:rsid w:val="00447B77"/>
    <w:rsid w:val="00481F37"/>
    <w:rsid w:val="00484731"/>
    <w:rsid w:val="004B3176"/>
    <w:rsid w:val="004C12DA"/>
    <w:rsid w:val="004E3FA3"/>
    <w:rsid w:val="004F522F"/>
    <w:rsid w:val="005154AB"/>
    <w:rsid w:val="00536B1A"/>
    <w:rsid w:val="00545EF2"/>
    <w:rsid w:val="00561130"/>
    <w:rsid w:val="0057382D"/>
    <w:rsid w:val="00583756"/>
    <w:rsid w:val="0059339F"/>
    <w:rsid w:val="005A66EF"/>
    <w:rsid w:val="005B60DA"/>
    <w:rsid w:val="005D66B8"/>
    <w:rsid w:val="005E3AFF"/>
    <w:rsid w:val="006201D9"/>
    <w:rsid w:val="00631D23"/>
    <w:rsid w:val="006456A3"/>
    <w:rsid w:val="00671295"/>
    <w:rsid w:val="00671505"/>
    <w:rsid w:val="00682126"/>
    <w:rsid w:val="00686745"/>
    <w:rsid w:val="00687053"/>
    <w:rsid w:val="0069490F"/>
    <w:rsid w:val="006959C8"/>
    <w:rsid w:val="006960DB"/>
    <w:rsid w:val="006B124E"/>
    <w:rsid w:val="006C00D0"/>
    <w:rsid w:val="006D3CD1"/>
    <w:rsid w:val="006D762C"/>
    <w:rsid w:val="006F65E4"/>
    <w:rsid w:val="00715E88"/>
    <w:rsid w:val="0072193E"/>
    <w:rsid w:val="00723D5E"/>
    <w:rsid w:val="00724FB2"/>
    <w:rsid w:val="007322B6"/>
    <w:rsid w:val="00734035"/>
    <w:rsid w:val="0074616D"/>
    <w:rsid w:val="00751EA4"/>
    <w:rsid w:val="0078751F"/>
    <w:rsid w:val="00790722"/>
    <w:rsid w:val="0079645D"/>
    <w:rsid w:val="007A00BB"/>
    <w:rsid w:val="007A76F4"/>
    <w:rsid w:val="007B57B4"/>
    <w:rsid w:val="007C7B60"/>
    <w:rsid w:val="007D5F8E"/>
    <w:rsid w:val="007F1220"/>
    <w:rsid w:val="0080209C"/>
    <w:rsid w:val="008032A1"/>
    <w:rsid w:val="0081180D"/>
    <w:rsid w:val="00827B46"/>
    <w:rsid w:val="008425F4"/>
    <w:rsid w:val="00855C8F"/>
    <w:rsid w:val="008649FB"/>
    <w:rsid w:val="008676FE"/>
    <w:rsid w:val="008863E5"/>
    <w:rsid w:val="008907E4"/>
    <w:rsid w:val="008A01CB"/>
    <w:rsid w:val="008A34D5"/>
    <w:rsid w:val="008A78C1"/>
    <w:rsid w:val="008C0886"/>
    <w:rsid w:val="008C4337"/>
    <w:rsid w:val="008D0255"/>
    <w:rsid w:val="008D0636"/>
    <w:rsid w:val="008D5551"/>
    <w:rsid w:val="008E1477"/>
    <w:rsid w:val="008E1900"/>
    <w:rsid w:val="008F17E7"/>
    <w:rsid w:val="008F284F"/>
    <w:rsid w:val="008F3CA9"/>
    <w:rsid w:val="00912BAC"/>
    <w:rsid w:val="00921CA1"/>
    <w:rsid w:val="009239BC"/>
    <w:rsid w:val="00926ECF"/>
    <w:rsid w:val="00942EEF"/>
    <w:rsid w:val="009432C3"/>
    <w:rsid w:val="009471AA"/>
    <w:rsid w:val="00950366"/>
    <w:rsid w:val="0095374B"/>
    <w:rsid w:val="00965D01"/>
    <w:rsid w:val="00967BB2"/>
    <w:rsid w:val="009721CA"/>
    <w:rsid w:val="00983263"/>
    <w:rsid w:val="009B33F7"/>
    <w:rsid w:val="009E0BB8"/>
    <w:rsid w:val="00A063FD"/>
    <w:rsid w:val="00A10036"/>
    <w:rsid w:val="00A1302F"/>
    <w:rsid w:val="00A21A1A"/>
    <w:rsid w:val="00A2649A"/>
    <w:rsid w:val="00A31B66"/>
    <w:rsid w:val="00A37263"/>
    <w:rsid w:val="00A462A8"/>
    <w:rsid w:val="00A54F02"/>
    <w:rsid w:val="00A75AE8"/>
    <w:rsid w:val="00A775F5"/>
    <w:rsid w:val="00A80B3F"/>
    <w:rsid w:val="00A97773"/>
    <w:rsid w:val="00AB3414"/>
    <w:rsid w:val="00AF06BA"/>
    <w:rsid w:val="00B12167"/>
    <w:rsid w:val="00B2116B"/>
    <w:rsid w:val="00B2184A"/>
    <w:rsid w:val="00B222B3"/>
    <w:rsid w:val="00B24039"/>
    <w:rsid w:val="00B268EA"/>
    <w:rsid w:val="00B74AD6"/>
    <w:rsid w:val="00B8407C"/>
    <w:rsid w:val="00BB1200"/>
    <w:rsid w:val="00BD2C90"/>
    <w:rsid w:val="00BD6D67"/>
    <w:rsid w:val="00BF0DFD"/>
    <w:rsid w:val="00C07685"/>
    <w:rsid w:val="00C16ECF"/>
    <w:rsid w:val="00C2571A"/>
    <w:rsid w:val="00C27434"/>
    <w:rsid w:val="00C30CCD"/>
    <w:rsid w:val="00C4656A"/>
    <w:rsid w:val="00C65E75"/>
    <w:rsid w:val="00C6656E"/>
    <w:rsid w:val="00C67167"/>
    <w:rsid w:val="00C75C3A"/>
    <w:rsid w:val="00C8745D"/>
    <w:rsid w:val="00C87F1A"/>
    <w:rsid w:val="00CA0482"/>
    <w:rsid w:val="00CB5DF9"/>
    <w:rsid w:val="00CD0DDF"/>
    <w:rsid w:val="00CF17AD"/>
    <w:rsid w:val="00D01F54"/>
    <w:rsid w:val="00D176C3"/>
    <w:rsid w:val="00D24F6C"/>
    <w:rsid w:val="00D319D4"/>
    <w:rsid w:val="00D54917"/>
    <w:rsid w:val="00D82A6A"/>
    <w:rsid w:val="00D90C64"/>
    <w:rsid w:val="00DC5D33"/>
    <w:rsid w:val="00DE6FF0"/>
    <w:rsid w:val="00E0796A"/>
    <w:rsid w:val="00E140CD"/>
    <w:rsid w:val="00E24C81"/>
    <w:rsid w:val="00E26B15"/>
    <w:rsid w:val="00E467E8"/>
    <w:rsid w:val="00E54E70"/>
    <w:rsid w:val="00E5656D"/>
    <w:rsid w:val="00E56849"/>
    <w:rsid w:val="00E62A3D"/>
    <w:rsid w:val="00E934B2"/>
    <w:rsid w:val="00E97AF7"/>
    <w:rsid w:val="00EA18D8"/>
    <w:rsid w:val="00EB1F2C"/>
    <w:rsid w:val="00EC2A8C"/>
    <w:rsid w:val="00ED2EA0"/>
    <w:rsid w:val="00ED350D"/>
    <w:rsid w:val="00F11360"/>
    <w:rsid w:val="00F178A5"/>
    <w:rsid w:val="00F20642"/>
    <w:rsid w:val="00F4747A"/>
    <w:rsid w:val="00F5753C"/>
    <w:rsid w:val="00F60C7E"/>
    <w:rsid w:val="00F82E82"/>
    <w:rsid w:val="00F874A9"/>
    <w:rsid w:val="00F915EA"/>
    <w:rsid w:val="00FC5970"/>
    <w:rsid w:val="00FD7B70"/>
    <w:rsid w:val="00FE09B8"/>
    <w:rsid w:val="04E76FF6"/>
    <w:rsid w:val="098F04BE"/>
    <w:rsid w:val="2F13C00B"/>
    <w:rsid w:val="51D16095"/>
    <w:rsid w:val="68F4E10E"/>
    <w:rsid w:val="69E586CD"/>
    <w:rsid w:val="6B3CA1FE"/>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E8E578"/>
  <w15:chartTrackingRefBased/>
  <w15:docId w15:val="{C318810B-77C2-461F-93F2-F002D9EA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3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63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63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63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3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3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3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3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3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3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63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63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63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3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3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3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3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3E5"/>
    <w:rPr>
      <w:rFonts w:eastAsiaTheme="majorEastAsia" w:cstheme="majorBidi"/>
      <w:color w:val="272727" w:themeColor="text1" w:themeTint="D8"/>
    </w:rPr>
  </w:style>
  <w:style w:type="paragraph" w:styleId="Title">
    <w:name w:val="Title"/>
    <w:basedOn w:val="Normal"/>
    <w:next w:val="Normal"/>
    <w:link w:val="TitleChar"/>
    <w:uiPriority w:val="10"/>
    <w:qFormat/>
    <w:rsid w:val="008863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3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3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3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3E5"/>
    <w:pPr>
      <w:spacing w:before="160"/>
      <w:jc w:val="center"/>
    </w:pPr>
    <w:rPr>
      <w:i/>
      <w:iCs/>
      <w:color w:val="404040" w:themeColor="text1" w:themeTint="BF"/>
    </w:rPr>
  </w:style>
  <w:style w:type="character" w:customStyle="1" w:styleId="QuoteChar">
    <w:name w:val="Quote Char"/>
    <w:basedOn w:val="DefaultParagraphFont"/>
    <w:link w:val="Quote"/>
    <w:uiPriority w:val="29"/>
    <w:rsid w:val="008863E5"/>
    <w:rPr>
      <w:i/>
      <w:iCs/>
      <w:color w:val="404040" w:themeColor="text1" w:themeTint="BF"/>
    </w:rPr>
  </w:style>
  <w:style w:type="paragraph" w:styleId="ListParagraph">
    <w:name w:val="List Paragraph"/>
    <w:basedOn w:val="Normal"/>
    <w:uiPriority w:val="34"/>
    <w:qFormat/>
    <w:rsid w:val="008863E5"/>
    <w:pPr>
      <w:ind w:left="720"/>
      <w:contextualSpacing/>
    </w:pPr>
  </w:style>
  <w:style w:type="character" w:styleId="IntenseEmphasis">
    <w:name w:val="Intense Emphasis"/>
    <w:basedOn w:val="DefaultParagraphFont"/>
    <w:uiPriority w:val="21"/>
    <w:qFormat/>
    <w:rsid w:val="008863E5"/>
    <w:rPr>
      <w:i/>
      <w:iCs/>
      <w:color w:val="0F4761" w:themeColor="accent1" w:themeShade="BF"/>
    </w:rPr>
  </w:style>
  <w:style w:type="paragraph" w:styleId="IntenseQuote">
    <w:name w:val="Intense Quote"/>
    <w:basedOn w:val="Normal"/>
    <w:next w:val="Normal"/>
    <w:link w:val="IntenseQuoteChar"/>
    <w:uiPriority w:val="30"/>
    <w:qFormat/>
    <w:rsid w:val="008863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3E5"/>
    <w:rPr>
      <w:i/>
      <w:iCs/>
      <w:color w:val="0F4761" w:themeColor="accent1" w:themeShade="BF"/>
    </w:rPr>
  </w:style>
  <w:style w:type="character" w:styleId="IntenseReference">
    <w:name w:val="Intense Reference"/>
    <w:basedOn w:val="DefaultParagraphFont"/>
    <w:uiPriority w:val="32"/>
    <w:qFormat/>
    <w:rsid w:val="008863E5"/>
    <w:rPr>
      <w:b/>
      <w:bCs/>
      <w:smallCaps/>
      <w:color w:val="0F4761" w:themeColor="accent1" w:themeShade="BF"/>
      <w:spacing w:val="5"/>
    </w:rPr>
  </w:style>
  <w:style w:type="character" w:styleId="CommentReference">
    <w:name w:val="annotation reference"/>
    <w:basedOn w:val="DefaultParagraphFont"/>
    <w:uiPriority w:val="99"/>
    <w:semiHidden/>
    <w:unhideWhenUsed/>
    <w:rsid w:val="00C07685"/>
    <w:rPr>
      <w:sz w:val="16"/>
      <w:szCs w:val="16"/>
    </w:rPr>
  </w:style>
  <w:style w:type="paragraph" w:styleId="CommentText">
    <w:name w:val="annotation text"/>
    <w:basedOn w:val="Normal"/>
    <w:link w:val="CommentTextChar"/>
    <w:uiPriority w:val="99"/>
    <w:unhideWhenUsed/>
    <w:rsid w:val="00C07685"/>
    <w:pPr>
      <w:spacing w:line="240" w:lineRule="auto"/>
    </w:pPr>
    <w:rPr>
      <w:sz w:val="20"/>
      <w:szCs w:val="20"/>
    </w:rPr>
  </w:style>
  <w:style w:type="character" w:customStyle="1" w:styleId="CommentTextChar">
    <w:name w:val="Comment Text Char"/>
    <w:basedOn w:val="DefaultParagraphFont"/>
    <w:link w:val="CommentText"/>
    <w:uiPriority w:val="99"/>
    <w:rsid w:val="00C07685"/>
    <w:rPr>
      <w:sz w:val="20"/>
      <w:szCs w:val="20"/>
    </w:rPr>
  </w:style>
  <w:style w:type="paragraph" w:styleId="CommentSubject">
    <w:name w:val="annotation subject"/>
    <w:basedOn w:val="CommentText"/>
    <w:next w:val="CommentText"/>
    <w:link w:val="CommentSubjectChar"/>
    <w:uiPriority w:val="99"/>
    <w:semiHidden/>
    <w:unhideWhenUsed/>
    <w:rsid w:val="00C07685"/>
    <w:rPr>
      <w:b/>
      <w:bCs/>
    </w:rPr>
  </w:style>
  <w:style w:type="character" w:customStyle="1" w:styleId="CommentSubjectChar">
    <w:name w:val="Comment Subject Char"/>
    <w:basedOn w:val="CommentTextChar"/>
    <w:link w:val="CommentSubject"/>
    <w:uiPriority w:val="99"/>
    <w:semiHidden/>
    <w:rsid w:val="00C07685"/>
    <w:rPr>
      <w:b/>
      <w:bCs/>
      <w:sz w:val="20"/>
      <w:szCs w:val="20"/>
    </w:rPr>
  </w:style>
  <w:style w:type="paragraph" w:styleId="Revision">
    <w:name w:val="Revision"/>
    <w:hidden/>
    <w:uiPriority w:val="99"/>
    <w:semiHidden/>
    <w:rsid w:val="00C07685"/>
    <w:pPr>
      <w:spacing w:after="0" w:line="240" w:lineRule="auto"/>
    </w:pPr>
  </w:style>
  <w:style w:type="paragraph" w:styleId="Header">
    <w:name w:val="header"/>
    <w:basedOn w:val="Normal"/>
    <w:link w:val="HeaderChar"/>
    <w:uiPriority w:val="99"/>
    <w:unhideWhenUsed/>
    <w:rsid w:val="00802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09C"/>
  </w:style>
  <w:style w:type="paragraph" w:styleId="Footer">
    <w:name w:val="footer"/>
    <w:basedOn w:val="Normal"/>
    <w:link w:val="FooterChar"/>
    <w:uiPriority w:val="99"/>
    <w:unhideWhenUsed/>
    <w:rsid w:val="00802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09C"/>
  </w:style>
  <w:style w:type="character" w:styleId="Hyperlink">
    <w:name w:val="Hyperlink"/>
    <w:basedOn w:val="DefaultParagraphFont"/>
    <w:uiPriority w:val="99"/>
    <w:unhideWhenUsed/>
    <w:rsid w:val="002E5FB5"/>
    <w:rPr>
      <w:color w:val="467886" w:themeColor="hyperlink"/>
      <w:u w:val="single"/>
    </w:rPr>
  </w:style>
  <w:style w:type="character" w:styleId="UnresolvedMention">
    <w:name w:val="Unresolved Mention"/>
    <w:basedOn w:val="DefaultParagraphFont"/>
    <w:uiPriority w:val="99"/>
    <w:semiHidden/>
    <w:unhideWhenUsed/>
    <w:rsid w:val="00695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67940">
      <w:bodyDiv w:val="1"/>
      <w:marLeft w:val="0"/>
      <w:marRight w:val="0"/>
      <w:marTop w:val="0"/>
      <w:marBottom w:val="0"/>
      <w:divBdr>
        <w:top w:val="none" w:sz="0" w:space="0" w:color="auto"/>
        <w:left w:val="none" w:sz="0" w:space="0" w:color="auto"/>
        <w:bottom w:val="none" w:sz="0" w:space="0" w:color="auto"/>
        <w:right w:val="none" w:sz="0" w:space="0" w:color="auto"/>
      </w:divBdr>
      <w:divsChild>
        <w:div w:id="1923947568">
          <w:marLeft w:val="0"/>
          <w:marRight w:val="0"/>
          <w:marTop w:val="0"/>
          <w:marBottom w:val="0"/>
          <w:divBdr>
            <w:top w:val="none" w:sz="0" w:space="0" w:color="auto"/>
            <w:left w:val="none" w:sz="0" w:space="0" w:color="auto"/>
            <w:bottom w:val="none" w:sz="0" w:space="0" w:color="auto"/>
            <w:right w:val="none" w:sz="0" w:space="0" w:color="auto"/>
          </w:divBdr>
        </w:div>
      </w:divsChild>
    </w:div>
    <w:div w:id="165678770">
      <w:bodyDiv w:val="1"/>
      <w:marLeft w:val="0"/>
      <w:marRight w:val="0"/>
      <w:marTop w:val="0"/>
      <w:marBottom w:val="0"/>
      <w:divBdr>
        <w:top w:val="none" w:sz="0" w:space="0" w:color="auto"/>
        <w:left w:val="none" w:sz="0" w:space="0" w:color="auto"/>
        <w:bottom w:val="none" w:sz="0" w:space="0" w:color="auto"/>
        <w:right w:val="none" w:sz="0" w:space="0" w:color="auto"/>
      </w:divBdr>
    </w:div>
    <w:div w:id="281039690">
      <w:bodyDiv w:val="1"/>
      <w:marLeft w:val="0"/>
      <w:marRight w:val="0"/>
      <w:marTop w:val="0"/>
      <w:marBottom w:val="0"/>
      <w:divBdr>
        <w:top w:val="none" w:sz="0" w:space="0" w:color="auto"/>
        <w:left w:val="none" w:sz="0" w:space="0" w:color="auto"/>
        <w:bottom w:val="none" w:sz="0" w:space="0" w:color="auto"/>
        <w:right w:val="none" w:sz="0" w:space="0" w:color="auto"/>
      </w:divBdr>
    </w:div>
    <w:div w:id="330833226">
      <w:bodyDiv w:val="1"/>
      <w:marLeft w:val="0"/>
      <w:marRight w:val="0"/>
      <w:marTop w:val="0"/>
      <w:marBottom w:val="0"/>
      <w:divBdr>
        <w:top w:val="none" w:sz="0" w:space="0" w:color="auto"/>
        <w:left w:val="none" w:sz="0" w:space="0" w:color="auto"/>
        <w:bottom w:val="none" w:sz="0" w:space="0" w:color="auto"/>
        <w:right w:val="none" w:sz="0" w:space="0" w:color="auto"/>
      </w:divBdr>
    </w:div>
    <w:div w:id="370804866">
      <w:bodyDiv w:val="1"/>
      <w:marLeft w:val="0"/>
      <w:marRight w:val="0"/>
      <w:marTop w:val="0"/>
      <w:marBottom w:val="0"/>
      <w:divBdr>
        <w:top w:val="none" w:sz="0" w:space="0" w:color="auto"/>
        <w:left w:val="none" w:sz="0" w:space="0" w:color="auto"/>
        <w:bottom w:val="none" w:sz="0" w:space="0" w:color="auto"/>
        <w:right w:val="none" w:sz="0" w:space="0" w:color="auto"/>
      </w:divBdr>
      <w:divsChild>
        <w:div w:id="81027504">
          <w:marLeft w:val="0"/>
          <w:marRight w:val="0"/>
          <w:marTop w:val="0"/>
          <w:marBottom w:val="0"/>
          <w:divBdr>
            <w:top w:val="none" w:sz="0" w:space="0" w:color="auto"/>
            <w:left w:val="none" w:sz="0" w:space="0" w:color="auto"/>
            <w:bottom w:val="none" w:sz="0" w:space="0" w:color="auto"/>
            <w:right w:val="none" w:sz="0" w:space="0" w:color="auto"/>
          </w:divBdr>
        </w:div>
      </w:divsChild>
    </w:div>
    <w:div w:id="1000079620">
      <w:bodyDiv w:val="1"/>
      <w:marLeft w:val="0"/>
      <w:marRight w:val="0"/>
      <w:marTop w:val="0"/>
      <w:marBottom w:val="0"/>
      <w:divBdr>
        <w:top w:val="none" w:sz="0" w:space="0" w:color="auto"/>
        <w:left w:val="none" w:sz="0" w:space="0" w:color="auto"/>
        <w:bottom w:val="none" w:sz="0" w:space="0" w:color="auto"/>
        <w:right w:val="none" w:sz="0" w:space="0" w:color="auto"/>
      </w:divBdr>
      <w:divsChild>
        <w:div w:id="204373874">
          <w:marLeft w:val="0"/>
          <w:marRight w:val="0"/>
          <w:marTop w:val="0"/>
          <w:marBottom w:val="0"/>
          <w:divBdr>
            <w:top w:val="none" w:sz="0" w:space="0" w:color="auto"/>
            <w:left w:val="none" w:sz="0" w:space="0" w:color="auto"/>
            <w:bottom w:val="none" w:sz="0" w:space="0" w:color="auto"/>
            <w:right w:val="none" w:sz="0" w:space="0" w:color="auto"/>
          </w:divBdr>
        </w:div>
      </w:divsChild>
    </w:div>
    <w:div w:id="1484665177">
      <w:bodyDiv w:val="1"/>
      <w:marLeft w:val="0"/>
      <w:marRight w:val="0"/>
      <w:marTop w:val="0"/>
      <w:marBottom w:val="0"/>
      <w:divBdr>
        <w:top w:val="none" w:sz="0" w:space="0" w:color="auto"/>
        <w:left w:val="none" w:sz="0" w:space="0" w:color="auto"/>
        <w:bottom w:val="none" w:sz="0" w:space="0" w:color="auto"/>
        <w:right w:val="none" w:sz="0" w:space="0" w:color="auto"/>
      </w:divBdr>
      <w:divsChild>
        <w:div w:id="377512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eatrice@ideaprim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Rolandas Kajokas</dc:creator>
  <cp:keywords/>
  <dc:description/>
  <cp:lastModifiedBy>Beatričė Mikšytė</cp:lastModifiedBy>
  <cp:revision>14</cp:revision>
  <dcterms:created xsi:type="dcterms:W3CDTF">2025-07-08T12:52:00Z</dcterms:created>
  <dcterms:modified xsi:type="dcterms:W3CDTF">2025-08-21T06:21:00Z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2025-06-17T10:06:24Z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1ac60e19-10de-4bf1-8069-9a54021fc5de</vt:lpwstr>
  </property>
  <property fmtid="{D5CDD505-2E9C-101B-9397-08002B2CF9AE}" pid="7" name="MSIP_Label_defa4170-0d19-0005-0004-bc88714345d2_ActionId">
    <vt:lpwstr>dbd632f2-6b36-4e06-9a8b-bcd382e81fff</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