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F262" w14:textId="435FB56A" w:rsidR="00A9705C" w:rsidRPr="00A9705C" w:rsidRDefault="00A9705C" w:rsidP="00A9705C">
      <w:pPr>
        <w:jc w:val="both"/>
        <w:rPr>
          <w:rFonts w:ascii="Arial" w:hAnsi="Arial" w:cs="Arial"/>
          <w:b/>
          <w:bCs/>
          <w:sz w:val="22"/>
          <w:szCs w:val="22"/>
          <w:lang w:val="en-US"/>
        </w:rPr>
      </w:pPr>
      <w:r w:rsidRPr="00A9705C">
        <w:rPr>
          <w:rFonts w:ascii="Arial" w:hAnsi="Arial" w:cs="Arial"/>
          <w:b/>
          <w:bCs/>
          <w:sz w:val="22"/>
          <w:szCs w:val="22"/>
        </w:rPr>
        <w:t>Ką daryti, jei pervedėte pinigus sukčiams ir kokios galimybės juos atgauti?</w:t>
      </w:r>
    </w:p>
    <w:p w14:paraId="3C236C3F" w14:textId="77777777" w:rsidR="00A9705C" w:rsidRPr="00A9705C" w:rsidRDefault="00A9705C" w:rsidP="00A9705C">
      <w:pPr>
        <w:jc w:val="both"/>
        <w:rPr>
          <w:rFonts w:ascii="Arial" w:hAnsi="Arial" w:cs="Arial"/>
          <w:b/>
          <w:bCs/>
          <w:sz w:val="22"/>
          <w:szCs w:val="22"/>
          <w:lang w:val="en-US"/>
        </w:rPr>
      </w:pPr>
      <w:r w:rsidRPr="00A9705C">
        <w:rPr>
          <w:rFonts w:ascii="Arial" w:hAnsi="Arial" w:cs="Arial"/>
          <w:b/>
          <w:bCs/>
          <w:sz w:val="22"/>
          <w:szCs w:val="22"/>
        </w:rPr>
        <w:t>Sukčiavimų kiekis Lietuvoje neslūgsta, o gyventojai neretai tik pervedę pinigus suvokia, kad buvo apgauti. Nors bankai imasi įvairių priemonių identifikuoti ir stabdyti įtartinas operacijas, susigrąžinti jau pervestus pinigus pavyksta retai. Kokiais atvejais įmanoma atgauti lėšas ir kokių veiksmų, įtarus, kad tapote sukčių auka, būtina imtis nedelsiant? </w:t>
      </w:r>
      <w:r w:rsidRPr="00A9705C">
        <w:rPr>
          <w:rFonts w:ascii="Arial" w:hAnsi="Arial" w:cs="Arial"/>
          <w:b/>
          <w:bCs/>
          <w:sz w:val="22"/>
          <w:szCs w:val="22"/>
          <w:lang w:val="en-US"/>
        </w:rPr>
        <w:t> </w:t>
      </w:r>
    </w:p>
    <w:p w14:paraId="35FC9424" w14:textId="77777777" w:rsidR="00A9705C" w:rsidRPr="00A9705C" w:rsidRDefault="00A9705C" w:rsidP="00A9705C">
      <w:pPr>
        <w:jc w:val="both"/>
        <w:rPr>
          <w:rFonts w:ascii="Arial" w:hAnsi="Arial" w:cs="Arial"/>
          <w:sz w:val="22"/>
          <w:szCs w:val="22"/>
          <w:lang w:val="en-US"/>
        </w:rPr>
      </w:pPr>
      <w:r w:rsidRPr="00A9705C">
        <w:rPr>
          <w:rFonts w:ascii="Arial" w:hAnsi="Arial" w:cs="Arial"/>
          <w:sz w:val="22"/>
          <w:szCs w:val="22"/>
        </w:rPr>
        <w:t>Vien praėjusios darbo savaitės pabaigoje Lietuvos policija pranešė, kad sostinėje sukčiai iš dviejų žmonių apgaule išviliojo 13,3 tūkst. eurų, Vilniaus rajone iš moters pasisavino 15 tūkst. eurų, o Panevėžio apskrityje, neteisėtai pasinaudojus moters asmens duomenimis, buvo paimta net 92 tūkst. eurų dydžio paskola. </w:t>
      </w:r>
      <w:r w:rsidRPr="00A9705C">
        <w:rPr>
          <w:rFonts w:ascii="Arial" w:hAnsi="Arial" w:cs="Arial"/>
          <w:sz w:val="22"/>
          <w:szCs w:val="22"/>
          <w:lang w:val="en-US"/>
        </w:rPr>
        <w:t> </w:t>
      </w:r>
    </w:p>
    <w:p w14:paraId="35CBE818" w14:textId="77777777" w:rsidR="00A9705C" w:rsidRPr="00A9705C" w:rsidRDefault="00A9705C" w:rsidP="00A9705C">
      <w:pPr>
        <w:jc w:val="both"/>
        <w:rPr>
          <w:rFonts w:ascii="Arial" w:hAnsi="Arial" w:cs="Arial"/>
          <w:sz w:val="22"/>
          <w:szCs w:val="22"/>
          <w:lang w:val="en-US"/>
        </w:rPr>
      </w:pPr>
      <w:r w:rsidRPr="00A9705C">
        <w:rPr>
          <w:rFonts w:ascii="Arial" w:hAnsi="Arial" w:cs="Arial"/>
          <w:sz w:val="22"/>
          <w:szCs w:val="22"/>
        </w:rPr>
        <w:t>„Kontaktai su sukčiais paprastai apibūdinami kaip itin intensyvūs, su psichologinio spaudimo elementais ir pakartotiniais raginimais daryti prašomus veiksmus kuo greičiau. Veiksmingiausias būdas nuo jų apsisaugoti – vos įtarus, kad kalbate su sukčiais, pokalbį nedelsiant nutraukti“, – pataria „Urbo“ banko Pinigų plovimo ir sukčiavimo prevencijos departamento direktorius Petras Gotautas. </w:t>
      </w:r>
      <w:r w:rsidRPr="00A9705C">
        <w:rPr>
          <w:rFonts w:ascii="Arial" w:hAnsi="Arial" w:cs="Arial"/>
          <w:sz w:val="22"/>
          <w:szCs w:val="22"/>
          <w:lang w:val="en-US"/>
        </w:rPr>
        <w:t> </w:t>
      </w:r>
    </w:p>
    <w:p w14:paraId="6A93B157" w14:textId="77777777" w:rsidR="00A9705C" w:rsidRPr="00A9705C" w:rsidRDefault="00A9705C" w:rsidP="00A9705C">
      <w:pPr>
        <w:jc w:val="both"/>
        <w:rPr>
          <w:rFonts w:ascii="Arial" w:hAnsi="Arial" w:cs="Arial"/>
          <w:b/>
          <w:bCs/>
          <w:sz w:val="22"/>
          <w:szCs w:val="22"/>
          <w:lang w:val="en-US"/>
        </w:rPr>
      </w:pPr>
      <w:r w:rsidRPr="00A9705C">
        <w:rPr>
          <w:rFonts w:ascii="Arial" w:hAnsi="Arial" w:cs="Arial"/>
          <w:b/>
          <w:bCs/>
          <w:sz w:val="22"/>
          <w:szCs w:val="22"/>
        </w:rPr>
        <w:t>Ar galima atgauti jau pervestus pinigus? </w:t>
      </w:r>
      <w:r w:rsidRPr="00A9705C">
        <w:rPr>
          <w:rFonts w:ascii="Arial" w:hAnsi="Arial" w:cs="Arial"/>
          <w:b/>
          <w:bCs/>
          <w:sz w:val="22"/>
          <w:szCs w:val="22"/>
          <w:lang w:val="en-US"/>
        </w:rPr>
        <w:t> </w:t>
      </w:r>
    </w:p>
    <w:p w14:paraId="3F074187" w14:textId="77777777" w:rsidR="00A9705C" w:rsidRPr="00A9705C" w:rsidRDefault="00A9705C" w:rsidP="00A9705C">
      <w:pPr>
        <w:jc w:val="both"/>
        <w:rPr>
          <w:rFonts w:ascii="Arial" w:hAnsi="Arial" w:cs="Arial"/>
          <w:sz w:val="22"/>
          <w:szCs w:val="22"/>
          <w:lang w:val="en-US"/>
        </w:rPr>
      </w:pPr>
      <w:r w:rsidRPr="00A9705C">
        <w:rPr>
          <w:rFonts w:ascii="Arial" w:hAnsi="Arial" w:cs="Arial"/>
          <w:sz w:val="22"/>
          <w:szCs w:val="22"/>
        </w:rPr>
        <w:t>Kadangi sukčiavimo istorijos vis dar yra kone kasdienių policijos suvestinių dalis, akivaizdu, jog pakankamai daug žmonių šių pokalbių laiku nenutraukia. Kad buvo apgauti, jie supranta tik tuomet, kai jau būna pervedę pinigus. Ar tokiu atveju lėšas dar įmanoma atgauti, ar belieka susitaikyti su skaudžiu praradimu? </w:t>
      </w:r>
      <w:r w:rsidRPr="00A9705C">
        <w:rPr>
          <w:rFonts w:ascii="Arial" w:hAnsi="Arial" w:cs="Arial"/>
          <w:sz w:val="22"/>
          <w:szCs w:val="22"/>
          <w:lang w:val="en-US"/>
        </w:rPr>
        <w:t> </w:t>
      </w:r>
    </w:p>
    <w:p w14:paraId="1469B99A" w14:textId="77777777" w:rsidR="00A9705C" w:rsidRPr="00A9705C" w:rsidRDefault="00A9705C" w:rsidP="00A9705C">
      <w:pPr>
        <w:jc w:val="both"/>
        <w:rPr>
          <w:rFonts w:ascii="Arial" w:hAnsi="Arial" w:cs="Arial"/>
          <w:sz w:val="22"/>
          <w:szCs w:val="22"/>
          <w:lang w:val="en-US"/>
        </w:rPr>
      </w:pPr>
      <w:r w:rsidRPr="00A9705C">
        <w:rPr>
          <w:rFonts w:ascii="Arial" w:hAnsi="Arial" w:cs="Arial"/>
          <w:sz w:val="22"/>
          <w:szCs w:val="22"/>
        </w:rPr>
        <w:t>P. Gotautas pabrėžia, kad tokiais atvejais svarbiausia – operatyvumas. Pasak specialisto, reikia kuo greičiau kreiptis į savo finansų įstaigą dėl mokėjimo atšaukimo ir nedelsiant apie nusikaltimą pranešti policijai. </w:t>
      </w:r>
      <w:r w:rsidRPr="00A9705C">
        <w:rPr>
          <w:rFonts w:ascii="Arial" w:hAnsi="Arial" w:cs="Arial"/>
          <w:sz w:val="22"/>
          <w:szCs w:val="22"/>
          <w:lang w:val="en-US"/>
        </w:rPr>
        <w:t> </w:t>
      </w:r>
    </w:p>
    <w:p w14:paraId="37020F74" w14:textId="77777777" w:rsidR="00A9705C" w:rsidRPr="00A9705C" w:rsidRDefault="00A9705C" w:rsidP="00A9705C">
      <w:pPr>
        <w:jc w:val="both"/>
        <w:rPr>
          <w:rFonts w:ascii="Arial" w:hAnsi="Arial" w:cs="Arial"/>
          <w:sz w:val="22"/>
          <w:szCs w:val="22"/>
          <w:lang w:val="en-US"/>
        </w:rPr>
      </w:pPr>
      <w:r w:rsidRPr="00A9705C">
        <w:rPr>
          <w:rFonts w:ascii="Arial" w:hAnsi="Arial" w:cs="Arial"/>
          <w:sz w:val="22"/>
          <w:szCs w:val="22"/>
        </w:rPr>
        <w:t>„Svarbiausia – bankui ir teisėsaugos atstovams pateikti kuo tikslesnę ir detalesnę informaciją apie sukčiavimo aplinkybes, nes tik tuomet dar galima tikėtis, kad lėšos bus sulaikytos ir grąžintos teisėtam savininkui“, – pabrėžia P. Gotautas. </w:t>
      </w:r>
      <w:r w:rsidRPr="00A9705C">
        <w:rPr>
          <w:rFonts w:ascii="Arial" w:hAnsi="Arial" w:cs="Arial"/>
          <w:sz w:val="22"/>
          <w:szCs w:val="22"/>
          <w:lang w:val="en-US"/>
        </w:rPr>
        <w:t> </w:t>
      </w:r>
    </w:p>
    <w:p w14:paraId="6517AC0E" w14:textId="77777777" w:rsidR="00A9705C" w:rsidRPr="00A9705C" w:rsidRDefault="00A9705C" w:rsidP="00A9705C">
      <w:pPr>
        <w:jc w:val="both"/>
        <w:rPr>
          <w:rFonts w:ascii="Arial" w:hAnsi="Arial" w:cs="Arial"/>
          <w:sz w:val="22"/>
          <w:szCs w:val="22"/>
          <w:lang w:val="en-US"/>
        </w:rPr>
      </w:pPr>
      <w:r w:rsidRPr="00A9705C">
        <w:rPr>
          <w:rFonts w:ascii="Arial" w:hAnsi="Arial" w:cs="Arial"/>
          <w:sz w:val="22"/>
          <w:szCs w:val="22"/>
        </w:rPr>
        <w:t xml:space="preserve">Saugumo specialistas pasakoja, kad mokėjimo operacijų stebėsenos sistemų veikimo principai skirtingose finansų institucijose gali skirtis. „Urbo“ banko saugumo sistema visus įtartinus pervedimus stabdo vienodai – nepriklausomai nuo to, ar jie vykdomi banko viduje, ar į kitus bankus. Tiesa, praktiškai sukčiavimo atvejų, kai lėšos pervedamos į kitą to paties banko sąskaitą, pasitaiko labai retai. </w:t>
      </w:r>
      <w:r w:rsidRPr="00A9705C">
        <w:rPr>
          <w:rFonts w:ascii="Arial" w:hAnsi="Arial" w:cs="Arial"/>
          <w:sz w:val="22"/>
          <w:szCs w:val="22"/>
          <w:lang w:val="en-US"/>
        </w:rPr>
        <w:t> </w:t>
      </w:r>
    </w:p>
    <w:p w14:paraId="583089E6" w14:textId="77777777" w:rsidR="00A9705C" w:rsidRPr="00A9705C" w:rsidRDefault="00A9705C" w:rsidP="00A9705C">
      <w:pPr>
        <w:jc w:val="both"/>
        <w:rPr>
          <w:rFonts w:ascii="Arial" w:hAnsi="Arial" w:cs="Arial"/>
          <w:b/>
          <w:bCs/>
          <w:sz w:val="22"/>
          <w:szCs w:val="22"/>
          <w:lang w:val="en-US"/>
        </w:rPr>
      </w:pPr>
      <w:r w:rsidRPr="00A9705C">
        <w:rPr>
          <w:rFonts w:ascii="Arial" w:hAnsi="Arial" w:cs="Arial"/>
          <w:sz w:val="22"/>
          <w:szCs w:val="22"/>
        </w:rPr>
        <w:t>Sustabdyti mokėjimai „Urbo“ banke paprastai patikrinami per vidutiniškai vieną valandą, o ištirti sudėtingesnius atvejus gali būti skiriama iki dviejų darbo dienų. Kai kuriuos įspėjimus banko apsaugos sistema sugeneruoja akimirksniu, netgi dar prieš pilnai užbaigiant pačią operaciją. </w:t>
      </w:r>
      <w:r w:rsidRPr="00A9705C">
        <w:rPr>
          <w:rFonts w:ascii="Arial" w:hAnsi="Arial" w:cs="Arial"/>
          <w:b/>
          <w:bCs/>
          <w:sz w:val="22"/>
          <w:szCs w:val="22"/>
          <w:lang w:val="en-US"/>
        </w:rPr>
        <w:t> </w:t>
      </w:r>
    </w:p>
    <w:p w14:paraId="59271D36" w14:textId="77777777" w:rsidR="00A9705C" w:rsidRPr="00A9705C" w:rsidRDefault="00A9705C" w:rsidP="00A9705C">
      <w:pPr>
        <w:jc w:val="both"/>
        <w:rPr>
          <w:rFonts w:ascii="Arial" w:hAnsi="Arial" w:cs="Arial"/>
          <w:b/>
          <w:bCs/>
          <w:sz w:val="22"/>
          <w:szCs w:val="22"/>
          <w:lang w:val="en-US"/>
        </w:rPr>
      </w:pPr>
      <w:r w:rsidRPr="00A9705C">
        <w:rPr>
          <w:rFonts w:ascii="Arial" w:hAnsi="Arial" w:cs="Arial"/>
          <w:b/>
          <w:bCs/>
          <w:sz w:val="22"/>
          <w:szCs w:val="22"/>
        </w:rPr>
        <w:t>Raudonos vėliavėlės </w:t>
      </w:r>
      <w:r w:rsidRPr="00A9705C">
        <w:rPr>
          <w:rFonts w:ascii="Arial" w:hAnsi="Arial" w:cs="Arial"/>
          <w:b/>
          <w:bCs/>
          <w:sz w:val="22"/>
          <w:szCs w:val="22"/>
          <w:lang w:val="en-US"/>
        </w:rPr>
        <w:t> </w:t>
      </w:r>
    </w:p>
    <w:p w14:paraId="4C988698" w14:textId="77777777" w:rsidR="00A9705C" w:rsidRPr="00A9705C" w:rsidRDefault="00A9705C" w:rsidP="00A9705C">
      <w:pPr>
        <w:jc w:val="both"/>
        <w:rPr>
          <w:rFonts w:ascii="Arial" w:hAnsi="Arial" w:cs="Arial"/>
          <w:sz w:val="22"/>
          <w:szCs w:val="22"/>
          <w:lang w:val="en-US"/>
        </w:rPr>
      </w:pPr>
      <w:r w:rsidRPr="00A9705C">
        <w:rPr>
          <w:rFonts w:ascii="Arial" w:hAnsi="Arial" w:cs="Arial"/>
          <w:sz w:val="22"/>
          <w:szCs w:val="22"/>
        </w:rPr>
        <w:t xml:space="preserve">Perspėjimu dėl galimai nusikalstamos veiklos pervedant pinigus gali tapti daugybė faktorių – pavyzdžiui, neįprasti veiksmai kliento internetinės bankininkystės paskyroje. Šių veiksmų stebėsenai naudojamos specialios automatizuotos sistemos, itin operatyviai apdorojančios didžiulius kiekius duomenų ir pateikiančios pirminius paieškos rezultatus. </w:t>
      </w:r>
      <w:r w:rsidRPr="00A9705C">
        <w:rPr>
          <w:rFonts w:ascii="Arial" w:hAnsi="Arial" w:cs="Arial"/>
          <w:sz w:val="22"/>
          <w:szCs w:val="22"/>
          <w:lang w:val="en-US"/>
        </w:rPr>
        <w:t> </w:t>
      </w:r>
    </w:p>
    <w:p w14:paraId="1270573A" w14:textId="77777777" w:rsidR="00A9705C" w:rsidRPr="00A9705C" w:rsidRDefault="00A9705C" w:rsidP="00A9705C">
      <w:pPr>
        <w:jc w:val="both"/>
        <w:rPr>
          <w:rFonts w:ascii="Arial" w:hAnsi="Arial" w:cs="Arial"/>
          <w:sz w:val="22"/>
          <w:szCs w:val="22"/>
          <w:lang w:val="en-US"/>
        </w:rPr>
      </w:pPr>
      <w:r w:rsidRPr="00A9705C">
        <w:rPr>
          <w:rFonts w:ascii="Arial" w:hAnsi="Arial" w:cs="Arial"/>
          <w:sz w:val="22"/>
          <w:szCs w:val="22"/>
        </w:rPr>
        <w:t>P. Gotautas įsitikinęs, kad šiuolaikinė sukčiavimo prevencija ne tik neįsivaizduojama, bet ir iš esmės neįmanoma be technologijų, o norint efektyviai kovoti su nusikalstamumu, jas privalu nuolat tobulinti, ieškant vis naujų galimybių. </w:t>
      </w:r>
      <w:r w:rsidRPr="00A9705C">
        <w:rPr>
          <w:rFonts w:ascii="Arial" w:hAnsi="Arial" w:cs="Arial"/>
          <w:sz w:val="22"/>
          <w:szCs w:val="22"/>
          <w:lang w:val="en-US"/>
        </w:rPr>
        <w:t> </w:t>
      </w:r>
    </w:p>
    <w:p w14:paraId="7ACF1605" w14:textId="77777777" w:rsidR="00A9705C" w:rsidRPr="00A9705C" w:rsidRDefault="00A9705C" w:rsidP="00A9705C">
      <w:pPr>
        <w:jc w:val="both"/>
        <w:rPr>
          <w:rFonts w:ascii="Arial" w:hAnsi="Arial" w:cs="Arial"/>
          <w:sz w:val="22"/>
          <w:szCs w:val="22"/>
          <w:lang w:val="en-US"/>
        </w:rPr>
      </w:pPr>
      <w:r w:rsidRPr="00A9705C">
        <w:rPr>
          <w:rFonts w:ascii="Arial" w:hAnsi="Arial" w:cs="Arial"/>
          <w:sz w:val="22"/>
          <w:szCs w:val="22"/>
        </w:rPr>
        <w:lastRenderedPageBreak/>
        <w:t xml:space="preserve">„Inovatyvios technologijos padeda nustatyti vis daugiau sukčiavimo atvejų ir sumažinti klaidingų sutapimų (angl. </w:t>
      </w:r>
      <w:proofErr w:type="spellStart"/>
      <w:r w:rsidRPr="00A9705C">
        <w:rPr>
          <w:rFonts w:ascii="Arial" w:hAnsi="Arial" w:cs="Arial"/>
          <w:i/>
          <w:iCs/>
          <w:sz w:val="22"/>
          <w:szCs w:val="22"/>
        </w:rPr>
        <w:t>false</w:t>
      </w:r>
      <w:proofErr w:type="spellEnd"/>
      <w:r w:rsidRPr="00A9705C">
        <w:rPr>
          <w:rFonts w:ascii="Arial" w:hAnsi="Arial" w:cs="Arial"/>
          <w:i/>
          <w:iCs/>
          <w:sz w:val="22"/>
          <w:szCs w:val="22"/>
        </w:rPr>
        <w:t xml:space="preserve"> </w:t>
      </w:r>
      <w:proofErr w:type="spellStart"/>
      <w:r w:rsidRPr="00A9705C">
        <w:rPr>
          <w:rFonts w:ascii="Arial" w:hAnsi="Arial" w:cs="Arial"/>
          <w:i/>
          <w:iCs/>
          <w:sz w:val="22"/>
          <w:szCs w:val="22"/>
        </w:rPr>
        <w:t>positive</w:t>
      </w:r>
      <w:proofErr w:type="spellEnd"/>
      <w:r w:rsidRPr="00A9705C">
        <w:rPr>
          <w:rFonts w:ascii="Arial" w:hAnsi="Arial" w:cs="Arial"/>
          <w:sz w:val="22"/>
          <w:szCs w:val="22"/>
        </w:rPr>
        <w:t>) kiekį, o tai didina sukčiavimo prevencijos efektyvumą. Vis labiau tobulėja ir dirbtinio intelekto modeliai, padedantys operatyviau ir tiksliau pritaikyti sukčiavimo prevencijos sistemas prie nuolat kintančių sukčių praktikų bei tendencijų“, – pasakoja P. Gotautas. </w:t>
      </w:r>
      <w:r w:rsidRPr="00A9705C">
        <w:rPr>
          <w:rFonts w:ascii="Arial" w:hAnsi="Arial" w:cs="Arial"/>
          <w:sz w:val="22"/>
          <w:szCs w:val="22"/>
          <w:lang w:val="en-US"/>
        </w:rPr>
        <w:t> </w:t>
      </w:r>
    </w:p>
    <w:p w14:paraId="758CC8BB" w14:textId="77777777" w:rsidR="00A9705C" w:rsidRPr="00A9705C" w:rsidRDefault="00A9705C" w:rsidP="00A9705C">
      <w:pPr>
        <w:jc w:val="both"/>
        <w:rPr>
          <w:rFonts w:ascii="Arial" w:hAnsi="Arial" w:cs="Arial"/>
          <w:b/>
          <w:bCs/>
          <w:sz w:val="22"/>
          <w:szCs w:val="22"/>
          <w:lang w:val="en-US"/>
        </w:rPr>
      </w:pPr>
      <w:r w:rsidRPr="00A9705C">
        <w:rPr>
          <w:rFonts w:ascii="Arial" w:hAnsi="Arial" w:cs="Arial"/>
          <w:b/>
          <w:bCs/>
          <w:sz w:val="22"/>
          <w:szCs w:val="22"/>
        </w:rPr>
        <w:t>Atpažinkite sukčius </w:t>
      </w:r>
      <w:r w:rsidRPr="00A9705C">
        <w:rPr>
          <w:rFonts w:ascii="Arial" w:hAnsi="Arial" w:cs="Arial"/>
          <w:b/>
          <w:bCs/>
          <w:sz w:val="22"/>
          <w:szCs w:val="22"/>
          <w:lang w:val="en-US"/>
        </w:rPr>
        <w:t> </w:t>
      </w:r>
    </w:p>
    <w:p w14:paraId="34FDA525" w14:textId="77777777" w:rsidR="00A9705C" w:rsidRPr="00A9705C" w:rsidRDefault="00A9705C" w:rsidP="00A9705C">
      <w:pPr>
        <w:jc w:val="both"/>
        <w:rPr>
          <w:rFonts w:ascii="Arial" w:hAnsi="Arial" w:cs="Arial"/>
          <w:sz w:val="22"/>
          <w:szCs w:val="22"/>
          <w:lang w:val="en-US"/>
        </w:rPr>
      </w:pPr>
      <w:r w:rsidRPr="00A9705C">
        <w:rPr>
          <w:rFonts w:ascii="Arial" w:hAnsi="Arial" w:cs="Arial"/>
          <w:sz w:val="22"/>
          <w:szCs w:val="22"/>
        </w:rPr>
        <w:t>Banko atstovas pripažįsta, kad net ir tobuliausios technologijos vis dar negali apsaugoti nuo impulsyvių, skubotų ir neapgalvotų žmonių veiksmų, galinčių turėti itin skaudžių pasekmių. </w:t>
      </w:r>
      <w:r w:rsidRPr="00A9705C">
        <w:rPr>
          <w:rFonts w:ascii="Arial" w:hAnsi="Arial" w:cs="Arial"/>
          <w:sz w:val="22"/>
          <w:szCs w:val="22"/>
          <w:lang w:val="en-US"/>
        </w:rPr>
        <w:t> </w:t>
      </w:r>
    </w:p>
    <w:p w14:paraId="01B555FC" w14:textId="77777777" w:rsidR="00A9705C" w:rsidRPr="00A9705C" w:rsidRDefault="00A9705C" w:rsidP="00A9705C">
      <w:pPr>
        <w:jc w:val="both"/>
        <w:rPr>
          <w:rFonts w:ascii="Arial" w:hAnsi="Arial" w:cs="Arial"/>
          <w:sz w:val="22"/>
          <w:szCs w:val="22"/>
          <w:lang w:val="en-US"/>
        </w:rPr>
      </w:pPr>
      <w:r w:rsidRPr="00A9705C">
        <w:rPr>
          <w:rFonts w:ascii="Arial" w:hAnsi="Arial" w:cs="Arial"/>
          <w:sz w:val="22"/>
          <w:szCs w:val="22"/>
        </w:rPr>
        <w:t>Kad taip nenutiktų, P. Gotautas dar kartą primena svarbiausias taisykles, kaip nepatekti ant sukčių kabliuko – niekada nespausti neaiškių nuorodų ir jokiu būdu nesuvedinėti savo duomenų, nes nei policijos, nei bankų, nei jokių kitų valstybės institucijų ar, juo labiau, privačių įmonių atstovai telefonu neturi teisės prašyti jokių asmens ar interneto banko duomenų. </w:t>
      </w:r>
      <w:r w:rsidRPr="00A9705C">
        <w:rPr>
          <w:rFonts w:ascii="Arial" w:hAnsi="Arial" w:cs="Arial"/>
          <w:sz w:val="22"/>
          <w:szCs w:val="22"/>
          <w:lang w:val="en-US"/>
        </w:rPr>
        <w:t> </w:t>
      </w:r>
    </w:p>
    <w:p w14:paraId="6DF0227C" w14:textId="4BC4F8C8" w:rsidR="001E7F83" w:rsidRPr="001E7F83" w:rsidRDefault="00A9705C" w:rsidP="001E7F83">
      <w:pPr>
        <w:jc w:val="both"/>
        <w:rPr>
          <w:rFonts w:ascii="Arial" w:hAnsi="Arial" w:cs="Arial"/>
          <w:sz w:val="22"/>
          <w:szCs w:val="22"/>
          <w:lang w:val="en-US"/>
        </w:rPr>
      </w:pPr>
      <w:r w:rsidRPr="00A9705C">
        <w:rPr>
          <w:rFonts w:ascii="Arial" w:hAnsi="Arial" w:cs="Arial"/>
          <w:sz w:val="22"/>
          <w:szCs w:val="22"/>
        </w:rPr>
        <w:t>„Socialiniuose tinkluose ar internete aptikę itin viliojantį kvietimą investuoti ar įsigyti prekes, visuomet jį patikrinkite per oficialią minimos bendrovės svetainę. Ignoruokite skubius nepažįstamų telefoninių pašnekovų raginimus, nepasiduokite jų spaudimui ir nepulkite beatodairiškai vykdyti prašomų atlikti veiksmų. O kilus menkiausiam įtarimui, tiesiog nutraukite pokalbį – tai efektyviausias būdas apsisaugoti nuo potencialiai labai skaudžių finansinių praradimų“, – apibendrina „Urbo“ Pinigų plovimo ir sukčiavimo prevencijos departamento direktorius. </w:t>
      </w:r>
      <w:r w:rsidRPr="00A9705C">
        <w:rPr>
          <w:rFonts w:ascii="Arial" w:hAnsi="Arial" w:cs="Arial"/>
          <w:sz w:val="22"/>
          <w:szCs w:val="22"/>
          <w:lang w:val="en-US"/>
        </w:rPr>
        <w:t> </w:t>
      </w:r>
    </w:p>
    <w:p w14:paraId="74C511F8" w14:textId="2A251DEE" w:rsidR="002E5FB5" w:rsidRDefault="002E5FB5" w:rsidP="00F874A9">
      <w:pPr>
        <w:rPr>
          <w:rFonts w:ascii="Arial" w:hAnsi="Arial" w:cs="Arial"/>
          <w:sz w:val="20"/>
          <w:szCs w:val="20"/>
          <w:lang w:val="pt-PT"/>
        </w:rPr>
      </w:pPr>
      <w:r w:rsidRPr="002E5FB5">
        <w:rPr>
          <w:rFonts w:ascii="Arial" w:hAnsi="Arial" w:cs="Arial"/>
          <w:b/>
          <w:bCs/>
          <w:sz w:val="20"/>
          <w:szCs w:val="20"/>
        </w:rPr>
        <w:t>Daugiau informacijos:</w:t>
      </w:r>
      <w:r w:rsidRPr="002E5FB5">
        <w:rPr>
          <w:rFonts w:ascii="Arial" w:hAnsi="Arial" w:cs="Arial"/>
          <w:b/>
          <w:bCs/>
          <w:sz w:val="20"/>
          <w:szCs w:val="20"/>
        </w:rPr>
        <w:br/>
      </w:r>
      <w:r w:rsidR="006959C8">
        <w:rPr>
          <w:rFonts w:ascii="Arial" w:hAnsi="Arial" w:cs="Arial"/>
          <w:sz w:val="20"/>
          <w:szCs w:val="20"/>
        </w:rPr>
        <w:t>Beatričė Mikšytė</w:t>
      </w:r>
      <w:r>
        <w:rPr>
          <w:rFonts w:ascii="Arial" w:hAnsi="Arial" w:cs="Arial"/>
          <w:sz w:val="20"/>
          <w:szCs w:val="20"/>
        </w:rPr>
        <w:br/>
        <w:t>+370</w:t>
      </w:r>
      <w:r w:rsidR="006959C8">
        <w:rPr>
          <w:rFonts w:ascii="Arial" w:hAnsi="Arial" w:cs="Arial"/>
          <w:sz w:val="20"/>
          <w:szCs w:val="20"/>
        </w:rPr>
        <w:t> </w:t>
      </w:r>
      <w:r>
        <w:rPr>
          <w:rFonts w:ascii="Arial" w:hAnsi="Arial" w:cs="Arial"/>
          <w:sz w:val="20"/>
          <w:szCs w:val="20"/>
        </w:rPr>
        <w:t>6</w:t>
      </w:r>
      <w:r w:rsidR="006959C8">
        <w:rPr>
          <w:rFonts w:ascii="Arial" w:hAnsi="Arial" w:cs="Arial"/>
          <w:sz w:val="20"/>
          <w:szCs w:val="20"/>
        </w:rPr>
        <w:t>35 37 649</w:t>
      </w:r>
      <w:r>
        <w:rPr>
          <w:rFonts w:ascii="Arial" w:hAnsi="Arial" w:cs="Arial"/>
          <w:sz w:val="20"/>
          <w:szCs w:val="20"/>
          <w:lang w:val="pt-PT"/>
        </w:rPr>
        <w:br/>
      </w:r>
      <w:hyperlink r:id="rId7" w:history="1">
        <w:r w:rsidR="006959C8" w:rsidRPr="00FE0167">
          <w:rPr>
            <w:rStyle w:val="Hyperlink"/>
            <w:rFonts w:ascii="Arial" w:hAnsi="Arial" w:cs="Arial"/>
            <w:sz w:val="20"/>
            <w:szCs w:val="20"/>
            <w:lang w:val="pt-PT"/>
          </w:rPr>
          <w:t>beatrice@ideaprima.lt</w:t>
        </w:r>
      </w:hyperlink>
    </w:p>
    <w:p w14:paraId="4FC1A4FB" w14:textId="77777777" w:rsidR="002E5FB5" w:rsidRPr="00671295" w:rsidRDefault="002E5FB5" w:rsidP="00395C55">
      <w:pPr>
        <w:jc w:val="both"/>
        <w:rPr>
          <w:rFonts w:ascii="Arial" w:hAnsi="Arial" w:cs="Arial"/>
          <w:sz w:val="22"/>
          <w:szCs w:val="22"/>
        </w:rPr>
      </w:pPr>
    </w:p>
    <w:sectPr w:rsidR="002E5FB5" w:rsidRPr="00671295" w:rsidSect="00671295">
      <w:headerReference w:type="default" r:id="rId8"/>
      <w:pgSz w:w="11906" w:h="16838"/>
      <w:pgMar w:top="1701"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417E" w14:textId="77777777" w:rsidR="00722817" w:rsidRDefault="00722817" w:rsidP="0080209C">
      <w:pPr>
        <w:spacing w:after="0" w:line="240" w:lineRule="auto"/>
      </w:pPr>
      <w:r>
        <w:separator/>
      </w:r>
    </w:p>
  </w:endnote>
  <w:endnote w:type="continuationSeparator" w:id="0">
    <w:p w14:paraId="2DF82745" w14:textId="77777777" w:rsidR="00722817" w:rsidRDefault="00722817" w:rsidP="0080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charset w:val="00"/>
    <w:family w:val="auto"/>
    <w:pitch w:val="variable"/>
    <w:sig w:usb0="00008007" w:usb1="0000000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E296" w14:textId="77777777" w:rsidR="00722817" w:rsidRDefault="00722817" w:rsidP="0080209C">
      <w:pPr>
        <w:spacing w:after="0" w:line="240" w:lineRule="auto"/>
      </w:pPr>
      <w:r>
        <w:separator/>
      </w:r>
    </w:p>
  </w:footnote>
  <w:footnote w:type="continuationSeparator" w:id="0">
    <w:p w14:paraId="01B65F32" w14:textId="77777777" w:rsidR="00722817" w:rsidRDefault="00722817" w:rsidP="0080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7D2D" w14:textId="77777777" w:rsidR="0080209C" w:rsidRPr="00191D29" w:rsidRDefault="0080209C" w:rsidP="0080209C">
    <w:pPr>
      <w:pStyle w:val="Header"/>
      <w:rPr>
        <w:rFonts w:asciiTheme="majorHAnsi" w:hAnsiTheme="majorHAnsi" w:cs="Poppins"/>
        <w:color w:val="808080" w:themeColor="background1" w:themeShade="80"/>
        <w:sz w:val="20"/>
        <w:szCs w:val="20"/>
      </w:rPr>
    </w:pPr>
    <w:r w:rsidRPr="00191D29">
      <w:rPr>
        <w:rFonts w:asciiTheme="majorHAnsi" w:hAnsiTheme="majorHAnsi" w:cs="Poppins"/>
        <w:noProof/>
        <w:color w:val="808080" w:themeColor="background1" w:themeShade="80"/>
        <w:sz w:val="20"/>
        <w:szCs w:val="20"/>
      </w:rPr>
      <w:drawing>
        <wp:anchor distT="0" distB="0" distL="114300" distR="114300" simplePos="0" relativeHeight="251658240" behindDoc="1" locked="0" layoutInCell="1" allowOverlap="1" wp14:anchorId="1988124A" wp14:editId="14326E23">
          <wp:simplePos x="0" y="0"/>
          <wp:positionH relativeFrom="margin">
            <wp:posOffset>4612005</wp:posOffset>
          </wp:positionH>
          <wp:positionV relativeFrom="paragraph">
            <wp:posOffset>10160</wp:posOffset>
          </wp:positionV>
          <wp:extent cx="1363980" cy="367165"/>
          <wp:effectExtent l="0" t="0" r="7620" b="0"/>
          <wp:wrapNone/>
          <wp:docPr id="58"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 descr="A green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3980" cy="367165"/>
                  </a:xfrm>
                  <a:prstGeom prst="rect">
                    <a:avLst/>
                  </a:prstGeom>
                </pic:spPr>
              </pic:pic>
            </a:graphicData>
          </a:graphic>
          <wp14:sizeRelH relativeFrom="margin">
            <wp14:pctWidth>0</wp14:pctWidth>
          </wp14:sizeRelH>
          <wp14:sizeRelV relativeFrom="margin">
            <wp14:pctHeight>0</wp14:pctHeight>
          </wp14:sizeRelV>
        </wp:anchor>
      </w:drawing>
    </w:r>
    <w:r w:rsidRPr="00191D29">
      <w:rPr>
        <w:rFonts w:asciiTheme="majorHAnsi" w:hAnsiTheme="majorHAnsi" w:cs="Poppins"/>
        <w:color w:val="808080" w:themeColor="background1" w:themeShade="80"/>
        <w:sz w:val="20"/>
        <w:szCs w:val="20"/>
      </w:rPr>
      <w:t>Pranešimas žiniasklaidai</w:t>
    </w:r>
  </w:p>
  <w:p w14:paraId="70BCE41D" w14:textId="7E26104F" w:rsidR="0080209C" w:rsidRPr="00F36C0C" w:rsidRDefault="0080209C" w:rsidP="0080209C">
    <w:pPr>
      <w:pStyle w:val="Header"/>
      <w:rPr>
        <w:rFonts w:asciiTheme="majorHAnsi" w:hAnsiTheme="majorHAnsi" w:cs="Poppins"/>
        <w:color w:val="808080" w:themeColor="background1" w:themeShade="80"/>
        <w:sz w:val="20"/>
        <w:szCs w:val="20"/>
      </w:rPr>
    </w:pPr>
    <w:r w:rsidRPr="00191D29">
      <w:rPr>
        <w:rFonts w:asciiTheme="majorHAnsi" w:hAnsiTheme="majorHAnsi" w:cs="Poppins"/>
        <w:color w:val="808080" w:themeColor="background1" w:themeShade="80"/>
        <w:sz w:val="20"/>
        <w:szCs w:val="20"/>
      </w:rPr>
      <w:t xml:space="preserve">2025 m. </w:t>
    </w:r>
    <w:r w:rsidR="00A31B66">
      <w:rPr>
        <w:rFonts w:asciiTheme="majorHAnsi" w:hAnsiTheme="majorHAnsi" w:cs="Poppins"/>
        <w:color w:val="808080" w:themeColor="background1" w:themeShade="80"/>
        <w:sz w:val="20"/>
        <w:szCs w:val="20"/>
      </w:rPr>
      <w:t>rug</w:t>
    </w:r>
    <w:r w:rsidR="00FB707F">
      <w:rPr>
        <w:rFonts w:asciiTheme="majorHAnsi" w:hAnsiTheme="majorHAnsi" w:cs="Poppins"/>
        <w:color w:val="808080" w:themeColor="background1" w:themeShade="80"/>
        <w:sz w:val="20"/>
        <w:szCs w:val="20"/>
      </w:rPr>
      <w:t>sėjo</w:t>
    </w:r>
    <w:r w:rsidR="00FB707F">
      <w:rPr>
        <w:rFonts w:asciiTheme="majorHAnsi" w:hAnsiTheme="majorHAnsi" w:cs="Poppins"/>
        <w:color w:val="808080" w:themeColor="background1" w:themeShade="80"/>
        <w:sz w:val="20"/>
        <w:szCs w:val="20"/>
        <w:lang w:val="en-US"/>
      </w:rPr>
      <w:t xml:space="preserve"> </w:t>
    </w:r>
    <w:r w:rsidR="00EF6867">
      <w:rPr>
        <w:rFonts w:asciiTheme="majorHAnsi" w:hAnsiTheme="majorHAnsi" w:cs="Poppins"/>
        <w:color w:val="808080" w:themeColor="background1" w:themeShade="80"/>
        <w:sz w:val="20"/>
        <w:szCs w:val="20"/>
        <w:lang w:val="en-US"/>
      </w:rPr>
      <w:t>1</w:t>
    </w:r>
    <w:r w:rsidR="00A9705C">
      <w:rPr>
        <w:rFonts w:asciiTheme="majorHAnsi" w:hAnsiTheme="majorHAnsi" w:cs="Poppins"/>
        <w:color w:val="808080" w:themeColor="background1" w:themeShade="80"/>
        <w:sz w:val="20"/>
        <w:szCs w:val="20"/>
        <w:lang w:val="en-US"/>
      </w:rPr>
      <w:t>7</w:t>
    </w:r>
    <w:r w:rsidR="00C27434">
      <w:rPr>
        <w:rFonts w:asciiTheme="majorHAnsi" w:hAnsiTheme="majorHAnsi" w:cs="Poppins"/>
        <w:color w:val="808080" w:themeColor="background1" w:themeShade="80"/>
        <w:sz w:val="20"/>
        <w:szCs w:val="20"/>
        <w:lang w:val="en-US"/>
      </w:rPr>
      <w:t xml:space="preserve"> </w:t>
    </w:r>
    <w:r>
      <w:rPr>
        <w:rFonts w:asciiTheme="majorHAnsi" w:hAnsiTheme="majorHAnsi" w:cs="Poppins"/>
        <w:color w:val="808080" w:themeColor="background1" w:themeShade="80"/>
        <w:sz w:val="20"/>
        <w:szCs w:val="20"/>
      </w:rPr>
      <w:t>d</w:t>
    </w:r>
    <w:r w:rsidRPr="00191D29">
      <w:rPr>
        <w:rFonts w:asciiTheme="majorHAnsi" w:hAnsiTheme="majorHAnsi" w:cs="Poppins"/>
        <w:color w:val="808080" w:themeColor="background1" w:themeShade="8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935D8"/>
    <w:multiLevelType w:val="multilevel"/>
    <w:tmpl w:val="ABE2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8554E"/>
    <w:multiLevelType w:val="multilevel"/>
    <w:tmpl w:val="B484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684394">
    <w:abstractNumId w:val="0"/>
  </w:num>
  <w:num w:numId="2" w16cid:durableId="126303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0476C"/>
    <w:rsid w:val="00034CD9"/>
    <w:rsid w:val="00035F39"/>
    <w:rsid w:val="00047094"/>
    <w:rsid w:val="00051ABD"/>
    <w:rsid w:val="00052D29"/>
    <w:rsid w:val="00053FA7"/>
    <w:rsid w:val="0006398B"/>
    <w:rsid w:val="000748C3"/>
    <w:rsid w:val="00080FD2"/>
    <w:rsid w:val="0008154A"/>
    <w:rsid w:val="000823F6"/>
    <w:rsid w:val="00086E67"/>
    <w:rsid w:val="000A1147"/>
    <w:rsid w:val="000C5762"/>
    <w:rsid w:val="000D1EF3"/>
    <w:rsid w:val="000D3DA1"/>
    <w:rsid w:val="000E5B12"/>
    <w:rsid w:val="00105C81"/>
    <w:rsid w:val="00124F01"/>
    <w:rsid w:val="001250AF"/>
    <w:rsid w:val="0014124E"/>
    <w:rsid w:val="00141343"/>
    <w:rsid w:val="00150041"/>
    <w:rsid w:val="00171E5E"/>
    <w:rsid w:val="001770BB"/>
    <w:rsid w:val="001B31B5"/>
    <w:rsid w:val="001C2191"/>
    <w:rsid w:val="001D6334"/>
    <w:rsid w:val="001E5B77"/>
    <w:rsid w:val="001E7F83"/>
    <w:rsid w:val="001F65E7"/>
    <w:rsid w:val="001F6F96"/>
    <w:rsid w:val="002118CB"/>
    <w:rsid w:val="0023391E"/>
    <w:rsid w:val="0024380B"/>
    <w:rsid w:val="00274FA3"/>
    <w:rsid w:val="00287EFA"/>
    <w:rsid w:val="002A4844"/>
    <w:rsid w:val="002B20E4"/>
    <w:rsid w:val="002C1C70"/>
    <w:rsid w:val="002C555F"/>
    <w:rsid w:val="002D5C21"/>
    <w:rsid w:val="002D5D26"/>
    <w:rsid w:val="002E5FB5"/>
    <w:rsid w:val="00302011"/>
    <w:rsid w:val="00306FD6"/>
    <w:rsid w:val="003226E6"/>
    <w:rsid w:val="00324446"/>
    <w:rsid w:val="00336D98"/>
    <w:rsid w:val="003402F5"/>
    <w:rsid w:val="003518A6"/>
    <w:rsid w:val="003620C0"/>
    <w:rsid w:val="003636AB"/>
    <w:rsid w:val="0036776F"/>
    <w:rsid w:val="003818C9"/>
    <w:rsid w:val="003863DB"/>
    <w:rsid w:val="00386CB9"/>
    <w:rsid w:val="00395C55"/>
    <w:rsid w:val="003A4160"/>
    <w:rsid w:val="003C0FF9"/>
    <w:rsid w:val="003D0553"/>
    <w:rsid w:val="003E11DD"/>
    <w:rsid w:val="003F0CEC"/>
    <w:rsid w:val="003F6964"/>
    <w:rsid w:val="004023F1"/>
    <w:rsid w:val="00417F11"/>
    <w:rsid w:val="00420852"/>
    <w:rsid w:val="00423B66"/>
    <w:rsid w:val="00432CD5"/>
    <w:rsid w:val="00447B77"/>
    <w:rsid w:val="00481F37"/>
    <w:rsid w:val="00484731"/>
    <w:rsid w:val="004B3176"/>
    <w:rsid w:val="004C12DA"/>
    <w:rsid w:val="004D7E63"/>
    <w:rsid w:val="004E0762"/>
    <w:rsid w:val="004E3FA3"/>
    <w:rsid w:val="004F522F"/>
    <w:rsid w:val="005154AB"/>
    <w:rsid w:val="00536B1A"/>
    <w:rsid w:val="00545EF2"/>
    <w:rsid w:val="00561130"/>
    <w:rsid w:val="0057382D"/>
    <w:rsid w:val="00583756"/>
    <w:rsid w:val="00585AB3"/>
    <w:rsid w:val="0059339F"/>
    <w:rsid w:val="005A66EF"/>
    <w:rsid w:val="005C3A94"/>
    <w:rsid w:val="005D66B8"/>
    <w:rsid w:val="005E3AFF"/>
    <w:rsid w:val="006201D9"/>
    <w:rsid w:val="00631D23"/>
    <w:rsid w:val="006456A3"/>
    <w:rsid w:val="00671295"/>
    <w:rsid w:val="00671505"/>
    <w:rsid w:val="00686745"/>
    <w:rsid w:val="00687053"/>
    <w:rsid w:val="0069490F"/>
    <w:rsid w:val="006959C8"/>
    <w:rsid w:val="006B124E"/>
    <w:rsid w:val="006C00D0"/>
    <w:rsid w:val="006D3CD1"/>
    <w:rsid w:val="006D762C"/>
    <w:rsid w:val="006E12EE"/>
    <w:rsid w:val="006F65E4"/>
    <w:rsid w:val="00715E88"/>
    <w:rsid w:val="0072193E"/>
    <w:rsid w:val="00722817"/>
    <w:rsid w:val="00723D5E"/>
    <w:rsid w:val="00724FB2"/>
    <w:rsid w:val="007322B6"/>
    <w:rsid w:val="00734035"/>
    <w:rsid w:val="0074616D"/>
    <w:rsid w:val="00751EA4"/>
    <w:rsid w:val="0078751F"/>
    <w:rsid w:val="00790722"/>
    <w:rsid w:val="0079645D"/>
    <w:rsid w:val="007A00BB"/>
    <w:rsid w:val="007A76F4"/>
    <w:rsid w:val="007B57B4"/>
    <w:rsid w:val="007C7B60"/>
    <w:rsid w:val="007D5F8E"/>
    <w:rsid w:val="007F1220"/>
    <w:rsid w:val="0080209C"/>
    <w:rsid w:val="008032A1"/>
    <w:rsid w:val="0081180D"/>
    <w:rsid w:val="00827B46"/>
    <w:rsid w:val="008425F4"/>
    <w:rsid w:val="00855C8F"/>
    <w:rsid w:val="008649FB"/>
    <w:rsid w:val="008676FE"/>
    <w:rsid w:val="008863E5"/>
    <w:rsid w:val="008907E4"/>
    <w:rsid w:val="008A01CB"/>
    <w:rsid w:val="008A34D5"/>
    <w:rsid w:val="008A78C1"/>
    <w:rsid w:val="008C0886"/>
    <w:rsid w:val="008C4337"/>
    <w:rsid w:val="008D0255"/>
    <w:rsid w:val="008D0636"/>
    <w:rsid w:val="008E1477"/>
    <w:rsid w:val="008E1900"/>
    <w:rsid w:val="008F17E7"/>
    <w:rsid w:val="008F284F"/>
    <w:rsid w:val="008F3CA9"/>
    <w:rsid w:val="00912BAC"/>
    <w:rsid w:val="00921CA1"/>
    <w:rsid w:val="009239BC"/>
    <w:rsid w:val="00926ECF"/>
    <w:rsid w:val="00942EEF"/>
    <w:rsid w:val="009432C3"/>
    <w:rsid w:val="009471AA"/>
    <w:rsid w:val="00950366"/>
    <w:rsid w:val="0095374B"/>
    <w:rsid w:val="00965D01"/>
    <w:rsid w:val="00967BB2"/>
    <w:rsid w:val="009721CA"/>
    <w:rsid w:val="00983263"/>
    <w:rsid w:val="009B33F7"/>
    <w:rsid w:val="009B5EF9"/>
    <w:rsid w:val="009E0BB8"/>
    <w:rsid w:val="00A063FD"/>
    <w:rsid w:val="00A10036"/>
    <w:rsid w:val="00A1302F"/>
    <w:rsid w:val="00A21A1A"/>
    <w:rsid w:val="00A2649A"/>
    <w:rsid w:val="00A31B66"/>
    <w:rsid w:val="00A37263"/>
    <w:rsid w:val="00A462A8"/>
    <w:rsid w:val="00A54F02"/>
    <w:rsid w:val="00A75AE8"/>
    <w:rsid w:val="00A775F5"/>
    <w:rsid w:val="00A80B3F"/>
    <w:rsid w:val="00A9705C"/>
    <w:rsid w:val="00A97773"/>
    <w:rsid w:val="00AB3414"/>
    <w:rsid w:val="00AF06BA"/>
    <w:rsid w:val="00B12167"/>
    <w:rsid w:val="00B2116B"/>
    <w:rsid w:val="00B2184A"/>
    <w:rsid w:val="00B222B3"/>
    <w:rsid w:val="00B24039"/>
    <w:rsid w:val="00B268EA"/>
    <w:rsid w:val="00B74AD6"/>
    <w:rsid w:val="00B8407C"/>
    <w:rsid w:val="00B97354"/>
    <w:rsid w:val="00BB1200"/>
    <w:rsid w:val="00BB4507"/>
    <w:rsid w:val="00BD2C90"/>
    <w:rsid w:val="00BD6D67"/>
    <w:rsid w:val="00BF0DFD"/>
    <w:rsid w:val="00C05981"/>
    <w:rsid w:val="00C07685"/>
    <w:rsid w:val="00C16ECF"/>
    <w:rsid w:val="00C2571A"/>
    <w:rsid w:val="00C27434"/>
    <w:rsid w:val="00C30CCD"/>
    <w:rsid w:val="00C4656A"/>
    <w:rsid w:val="00C56EC1"/>
    <w:rsid w:val="00C65E75"/>
    <w:rsid w:val="00C6656E"/>
    <w:rsid w:val="00C67167"/>
    <w:rsid w:val="00C75C3A"/>
    <w:rsid w:val="00C8745D"/>
    <w:rsid w:val="00C87F1A"/>
    <w:rsid w:val="00CA0482"/>
    <w:rsid w:val="00CB5DF9"/>
    <w:rsid w:val="00CF17AD"/>
    <w:rsid w:val="00D01F54"/>
    <w:rsid w:val="00D176C3"/>
    <w:rsid w:val="00D24F6C"/>
    <w:rsid w:val="00D319D4"/>
    <w:rsid w:val="00D54917"/>
    <w:rsid w:val="00D82A6A"/>
    <w:rsid w:val="00D90C64"/>
    <w:rsid w:val="00DC5D33"/>
    <w:rsid w:val="00DE6FF0"/>
    <w:rsid w:val="00E0796A"/>
    <w:rsid w:val="00E140CD"/>
    <w:rsid w:val="00E24C81"/>
    <w:rsid w:val="00E26B15"/>
    <w:rsid w:val="00E346AD"/>
    <w:rsid w:val="00E467E8"/>
    <w:rsid w:val="00E54E70"/>
    <w:rsid w:val="00E5656D"/>
    <w:rsid w:val="00E56849"/>
    <w:rsid w:val="00E62A3D"/>
    <w:rsid w:val="00E97AF7"/>
    <w:rsid w:val="00EA18D8"/>
    <w:rsid w:val="00EB1F2C"/>
    <w:rsid w:val="00EC2A8C"/>
    <w:rsid w:val="00ED2EA0"/>
    <w:rsid w:val="00ED350D"/>
    <w:rsid w:val="00EF6867"/>
    <w:rsid w:val="00F11360"/>
    <w:rsid w:val="00F178A5"/>
    <w:rsid w:val="00F20642"/>
    <w:rsid w:val="00F4747A"/>
    <w:rsid w:val="00F5753C"/>
    <w:rsid w:val="00F60C7E"/>
    <w:rsid w:val="00F71A22"/>
    <w:rsid w:val="00F82E82"/>
    <w:rsid w:val="00F874A9"/>
    <w:rsid w:val="00F915EA"/>
    <w:rsid w:val="00FB707F"/>
    <w:rsid w:val="00FC5970"/>
    <w:rsid w:val="00FD7B70"/>
    <w:rsid w:val="00FE09B8"/>
    <w:rsid w:val="04E76FF6"/>
    <w:rsid w:val="08DB6750"/>
    <w:rsid w:val="098F04BE"/>
    <w:rsid w:val="23CEAACA"/>
    <w:rsid w:val="2F13C00B"/>
    <w:rsid w:val="43D7E3D5"/>
    <w:rsid w:val="51D16095"/>
    <w:rsid w:val="587F181A"/>
    <w:rsid w:val="68F4E10E"/>
    <w:rsid w:val="69E586CD"/>
    <w:rsid w:val="6B3CA1FE"/>
    <w:rsid w:val="73D7933E"/>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8E578"/>
  <w15:chartTrackingRefBased/>
  <w15:docId w15:val="{9FF16CED-91D1-4957-881E-98315BF9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3E5"/>
    <w:rPr>
      <w:rFonts w:eastAsiaTheme="majorEastAsia" w:cstheme="majorBidi"/>
      <w:color w:val="272727" w:themeColor="text1" w:themeTint="D8"/>
    </w:rPr>
  </w:style>
  <w:style w:type="paragraph" w:styleId="Title">
    <w:name w:val="Title"/>
    <w:basedOn w:val="Normal"/>
    <w:next w:val="Normal"/>
    <w:link w:val="TitleChar"/>
    <w:uiPriority w:val="10"/>
    <w:qFormat/>
    <w:rsid w:val="0088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3E5"/>
    <w:pPr>
      <w:spacing w:before="160"/>
      <w:jc w:val="center"/>
    </w:pPr>
    <w:rPr>
      <w:i/>
      <w:iCs/>
      <w:color w:val="404040" w:themeColor="text1" w:themeTint="BF"/>
    </w:rPr>
  </w:style>
  <w:style w:type="character" w:customStyle="1" w:styleId="QuoteChar">
    <w:name w:val="Quote Char"/>
    <w:basedOn w:val="DefaultParagraphFont"/>
    <w:link w:val="Quote"/>
    <w:uiPriority w:val="29"/>
    <w:rsid w:val="008863E5"/>
    <w:rPr>
      <w:i/>
      <w:iCs/>
      <w:color w:val="404040" w:themeColor="text1" w:themeTint="BF"/>
    </w:rPr>
  </w:style>
  <w:style w:type="paragraph" w:styleId="ListParagraph">
    <w:name w:val="List Paragraph"/>
    <w:basedOn w:val="Normal"/>
    <w:uiPriority w:val="34"/>
    <w:qFormat/>
    <w:rsid w:val="008863E5"/>
    <w:pPr>
      <w:ind w:left="720"/>
      <w:contextualSpacing/>
    </w:pPr>
  </w:style>
  <w:style w:type="character" w:styleId="IntenseEmphasis">
    <w:name w:val="Intense Emphasis"/>
    <w:basedOn w:val="DefaultParagraphFont"/>
    <w:uiPriority w:val="21"/>
    <w:qFormat/>
    <w:rsid w:val="008863E5"/>
    <w:rPr>
      <w:i/>
      <w:iCs/>
      <w:color w:val="0F4761" w:themeColor="accent1" w:themeShade="BF"/>
    </w:rPr>
  </w:style>
  <w:style w:type="paragraph" w:styleId="IntenseQuote">
    <w:name w:val="Intense Quote"/>
    <w:basedOn w:val="Normal"/>
    <w:next w:val="Normal"/>
    <w:link w:val="IntenseQuoteChar"/>
    <w:uiPriority w:val="30"/>
    <w:qFormat/>
    <w:rsid w:val="0088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3E5"/>
    <w:rPr>
      <w:i/>
      <w:iCs/>
      <w:color w:val="0F4761" w:themeColor="accent1" w:themeShade="BF"/>
    </w:rPr>
  </w:style>
  <w:style w:type="character" w:styleId="IntenseReference">
    <w:name w:val="Intense Reference"/>
    <w:basedOn w:val="DefaultParagraphFont"/>
    <w:uiPriority w:val="32"/>
    <w:qFormat/>
    <w:rsid w:val="008863E5"/>
    <w:rPr>
      <w:b/>
      <w:bCs/>
      <w:smallCaps/>
      <w:color w:val="0F4761" w:themeColor="accent1" w:themeShade="BF"/>
      <w:spacing w:val="5"/>
    </w:rPr>
  </w:style>
  <w:style w:type="character" w:styleId="CommentReference">
    <w:name w:val="annotation reference"/>
    <w:basedOn w:val="DefaultParagraphFont"/>
    <w:uiPriority w:val="99"/>
    <w:semiHidden/>
    <w:unhideWhenUsed/>
    <w:rsid w:val="00C07685"/>
    <w:rPr>
      <w:sz w:val="16"/>
      <w:szCs w:val="16"/>
    </w:rPr>
  </w:style>
  <w:style w:type="paragraph" w:styleId="CommentText">
    <w:name w:val="annotation text"/>
    <w:basedOn w:val="Normal"/>
    <w:link w:val="CommentTextChar"/>
    <w:uiPriority w:val="99"/>
    <w:unhideWhenUsed/>
    <w:rsid w:val="00C07685"/>
    <w:pPr>
      <w:spacing w:line="240" w:lineRule="auto"/>
    </w:pPr>
    <w:rPr>
      <w:sz w:val="20"/>
      <w:szCs w:val="20"/>
    </w:rPr>
  </w:style>
  <w:style w:type="character" w:customStyle="1" w:styleId="CommentTextChar">
    <w:name w:val="Comment Text Char"/>
    <w:basedOn w:val="DefaultParagraphFont"/>
    <w:link w:val="CommentText"/>
    <w:uiPriority w:val="99"/>
    <w:rsid w:val="00C07685"/>
    <w:rPr>
      <w:sz w:val="20"/>
      <w:szCs w:val="20"/>
    </w:rPr>
  </w:style>
  <w:style w:type="paragraph" w:styleId="CommentSubject">
    <w:name w:val="annotation subject"/>
    <w:basedOn w:val="CommentText"/>
    <w:next w:val="CommentText"/>
    <w:link w:val="CommentSubjectChar"/>
    <w:uiPriority w:val="99"/>
    <w:semiHidden/>
    <w:unhideWhenUsed/>
    <w:rsid w:val="00C07685"/>
    <w:rPr>
      <w:b/>
      <w:bCs/>
    </w:rPr>
  </w:style>
  <w:style w:type="character" w:customStyle="1" w:styleId="CommentSubjectChar">
    <w:name w:val="Comment Subject Char"/>
    <w:basedOn w:val="CommentTextChar"/>
    <w:link w:val="CommentSubject"/>
    <w:uiPriority w:val="99"/>
    <w:semiHidden/>
    <w:rsid w:val="00C07685"/>
    <w:rPr>
      <w:b/>
      <w:bCs/>
      <w:sz w:val="20"/>
      <w:szCs w:val="20"/>
    </w:rPr>
  </w:style>
  <w:style w:type="paragraph" w:styleId="Revision">
    <w:name w:val="Revision"/>
    <w:hidden/>
    <w:uiPriority w:val="99"/>
    <w:semiHidden/>
    <w:rsid w:val="00C07685"/>
    <w:pPr>
      <w:spacing w:after="0" w:line="240" w:lineRule="auto"/>
    </w:pPr>
  </w:style>
  <w:style w:type="paragraph" w:styleId="Header">
    <w:name w:val="header"/>
    <w:basedOn w:val="Normal"/>
    <w:link w:val="HeaderChar"/>
    <w:uiPriority w:val="99"/>
    <w:unhideWhenUsed/>
    <w:rsid w:val="0080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9C"/>
  </w:style>
  <w:style w:type="paragraph" w:styleId="Footer">
    <w:name w:val="footer"/>
    <w:basedOn w:val="Normal"/>
    <w:link w:val="FooterChar"/>
    <w:uiPriority w:val="99"/>
    <w:unhideWhenUsed/>
    <w:rsid w:val="0080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9C"/>
  </w:style>
  <w:style w:type="character" w:styleId="Hyperlink">
    <w:name w:val="Hyperlink"/>
    <w:basedOn w:val="DefaultParagraphFont"/>
    <w:uiPriority w:val="99"/>
    <w:unhideWhenUsed/>
    <w:rsid w:val="002E5FB5"/>
    <w:rPr>
      <w:color w:val="467886" w:themeColor="hyperlink"/>
      <w:u w:val="single"/>
    </w:rPr>
  </w:style>
  <w:style w:type="character" w:styleId="UnresolvedMention">
    <w:name w:val="Unresolved Mention"/>
    <w:basedOn w:val="DefaultParagraphFont"/>
    <w:uiPriority w:val="99"/>
    <w:semiHidden/>
    <w:unhideWhenUsed/>
    <w:rsid w:val="0069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7940">
      <w:bodyDiv w:val="1"/>
      <w:marLeft w:val="0"/>
      <w:marRight w:val="0"/>
      <w:marTop w:val="0"/>
      <w:marBottom w:val="0"/>
      <w:divBdr>
        <w:top w:val="none" w:sz="0" w:space="0" w:color="auto"/>
        <w:left w:val="none" w:sz="0" w:space="0" w:color="auto"/>
        <w:bottom w:val="none" w:sz="0" w:space="0" w:color="auto"/>
        <w:right w:val="none" w:sz="0" w:space="0" w:color="auto"/>
      </w:divBdr>
      <w:divsChild>
        <w:div w:id="1923947568">
          <w:marLeft w:val="0"/>
          <w:marRight w:val="0"/>
          <w:marTop w:val="0"/>
          <w:marBottom w:val="0"/>
          <w:divBdr>
            <w:top w:val="none" w:sz="0" w:space="0" w:color="auto"/>
            <w:left w:val="none" w:sz="0" w:space="0" w:color="auto"/>
            <w:bottom w:val="none" w:sz="0" w:space="0" w:color="auto"/>
            <w:right w:val="none" w:sz="0" w:space="0" w:color="auto"/>
          </w:divBdr>
        </w:div>
      </w:divsChild>
    </w:div>
    <w:div w:id="165678770">
      <w:bodyDiv w:val="1"/>
      <w:marLeft w:val="0"/>
      <w:marRight w:val="0"/>
      <w:marTop w:val="0"/>
      <w:marBottom w:val="0"/>
      <w:divBdr>
        <w:top w:val="none" w:sz="0" w:space="0" w:color="auto"/>
        <w:left w:val="none" w:sz="0" w:space="0" w:color="auto"/>
        <w:bottom w:val="none" w:sz="0" w:space="0" w:color="auto"/>
        <w:right w:val="none" w:sz="0" w:space="0" w:color="auto"/>
      </w:divBdr>
    </w:div>
    <w:div w:id="281039690">
      <w:bodyDiv w:val="1"/>
      <w:marLeft w:val="0"/>
      <w:marRight w:val="0"/>
      <w:marTop w:val="0"/>
      <w:marBottom w:val="0"/>
      <w:divBdr>
        <w:top w:val="none" w:sz="0" w:space="0" w:color="auto"/>
        <w:left w:val="none" w:sz="0" w:space="0" w:color="auto"/>
        <w:bottom w:val="none" w:sz="0" w:space="0" w:color="auto"/>
        <w:right w:val="none" w:sz="0" w:space="0" w:color="auto"/>
      </w:divBdr>
    </w:div>
    <w:div w:id="330833226">
      <w:bodyDiv w:val="1"/>
      <w:marLeft w:val="0"/>
      <w:marRight w:val="0"/>
      <w:marTop w:val="0"/>
      <w:marBottom w:val="0"/>
      <w:divBdr>
        <w:top w:val="none" w:sz="0" w:space="0" w:color="auto"/>
        <w:left w:val="none" w:sz="0" w:space="0" w:color="auto"/>
        <w:bottom w:val="none" w:sz="0" w:space="0" w:color="auto"/>
        <w:right w:val="none" w:sz="0" w:space="0" w:color="auto"/>
      </w:divBdr>
    </w:div>
    <w:div w:id="370804866">
      <w:bodyDiv w:val="1"/>
      <w:marLeft w:val="0"/>
      <w:marRight w:val="0"/>
      <w:marTop w:val="0"/>
      <w:marBottom w:val="0"/>
      <w:divBdr>
        <w:top w:val="none" w:sz="0" w:space="0" w:color="auto"/>
        <w:left w:val="none" w:sz="0" w:space="0" w:color="auto"/>
        <w:bottom w:val="none" w:sz="0" w:space="0" w:color="auto"/>
        <w:right w:val="none" w:sz="0" w:space="0" w:color="auto"/>
      </w:divBdr>
      <w:divsChild>
        <w:div w:id="81027504">
          <w:marLeft w:val="0"/>
          <w:marRight w:val="0"/>
          <w:marTop w:val="0"/>
          <w:marBottom w:val="0"/>
          <w:divBdr>
            <w:top w:val="none" w:sz="0" w:space="0" w:color="auto"/>
            <w:left w:val="none" w:sz="0" w:space="0" w:color="auto"/>
            <w:bottom w:val="none" w:sz="0" w:space="0" w:color="auto"/>
            <w:right w:val="none" w:sz="0" w:space="0" w:color="auto"/>
          </w:divBdr>
        </w:div>
      </w:divsChild>
    </w:div>
    <w:div w:id="1000079620">
      <w:bodyDiv w:val="1"/>
      <w:marLeft w:val="0"/>
      <w:marRight w:val="0"/>
      <w:marTop w:val="0"/>
      <w:marBottom w:val="0"/>
      <w:divBdr>
        <w:top w:val="none" w:sz="0" w:space="0" w:color="auto"/>
        <w:left w:val="none" w:sz="0" w:space="0" w:color="auto"/>
        <w:bottom w:val="none" w:sz="0" w:space="0" w:color="auto"/>
        <w:right w:val="none" w:sz="0" w:space="0" w:color="auto"/>
      </w:divBdr>
      <w:divsChild>
        <w:div w:id="204373874">
          <w:marLeft w:val="0"/>
          <w:marRight w:val="0"/>
          <w:marTop w:val="0"/>
          <w:marBottom w:val="0"/>
          <w:divBdr>
            <w:top w:val="none" w:sz="0" w:space="0" w:color="auto"/>
            <w:left w:val="none" w:sz="0" w:space="0" w:color="auto"/>
            <w:bottom w:val="none" w:sz="0" w:space="0" w:color="auto"/>
            <w:right w:val="none" w:sz="0" w:space="0" w:color="auto"/>
          </w:divBdr>
        </w:div>
      </w:divsChild>
    </w:div>
    <w:div w:id="1484665177">
      <w:bodyDiv w:val="1"/>
      <w:marLeft w:val="0"/>
      <w:marRight w:val="0"/>
      <w:marTop w:val="0"/>
      <w:marBottom w:val="0"/>
      <w:divBdr>
        <w:top w:val="none" w:sz="0" w:space="0" w:color="auto"/>
        <w:left w:val="none" w:sz="0" w:space="0" w:color="auto"/>
        <w:bottom w:val="none" w:sz="0" w:space="0" w:color="auto"/>
        <w:right w:val="none" w:sz="0" w:space="0" w:color="auto"/>
      </w:divBdr>
      <w:divsChild>
        <w:div w:id="377512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atrice@ideapri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Beatričė Mikšytė</cp:lastModifiedBy>
  <cp:revision>21</cp:revision>
  <dcterms:created xsi:type="dcterms:W3CDTF">2025-07-08T12:52:00Z</dcterms:created>
  <dcterms:modified xsi:type="dcterms:W3CDTF">2025-09-16T11:22:00Z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2025-06-17T10:06:24Z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1ac60e19-10de-4bf1-8069-9a54021fc5de</vt:lpwstr>
  </property>
  <property fmtid="{D5CDD505-2E9C-101B-9397-08002B2CF9AE}" pid="7" name="MSIP_Label_defa4170-0d19-0005-0004-bc88714345d2_ActionId">
    <vt:lpwstr>dbd632f2-6b36-4e06-9a8b-bcd382e81fff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