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5CA" w14:textId="77777777" w:rsidR="003F72C9" w:rsidRPr="00BE2994" w:rsidRDefault="003F72C9" w:rsidP="003F72C9">
      <w:pPr>
        <w:jc w:val="both"/>
        <w:rPr>
          <w:rFonts w:eastAsia="Aptos" w:cs="Times New Roman"/>
          <w:lang w:val="lt-LT"/>
        </w:rPr>
      </w:pPr>
      <w:r w:rsidRPr="00BE2994">
        <w:rPr>
          <w:rFonts w:eastAsia="Aptos" w:cs="Times New Roman"/>
          <w:lang w:val="lt-LT"/>
        </w:rPr>
        <w:t>Pranešimas spaudai</w:t>
      </w:r>
    </w:p>
    <w:p w14:paraId="0F34BC24" w14:textId="0E484F31" w:rsidR="003F72C9" w:rsidRPr="00BE2994" w:rsidRDefault="003F72C9" w:rsidP="003F72C9">
      <w:pPr>
        <w:jc w:val="both"/>
        <w:rPr>
          <w:rFonts w:eastAsia="Aptos" w:cs="Times New Roman"/>
          <w:lang w:val="lt-LT"/>
        </w:rPr>
      </w:pPr>
      <w:r w:rsidRPr="6D22302F">
        <w:rPr>
          <w:rFonts w:eastAsia="Aptos" w:cs="Times New Roman"/>
          <w:lang w:val="lt-LT"/>
        </w:rPr>
        <w:t xml:space="preserve">2025 m. </w:t>
      </w:r>
      <w:r w:rsidR="00C20E6F" w:rsidRPr="6D22302F">
        <w:rPr>
          <w:rFonts w:eastAsia="Aptos" w:cs="Times New Roman"/>
          <w:lang w:val="lt-LT"/>
        </w:rPr>
        <w:t>spali</w:t>
      </w:r>
      <w:r w:rsidRPr="6D22302F">
        <w:rPr>
          <w:rFonts w:eastAsia="Aptos" w:cs="Times New Roman"/>
          <w:lang w:val="lt-LT"/>
        </w:rPr>
        <w:t xml:space="preserve">o </w:t>
      </w:r>
      <w:r w:rsidR="48B6EE37" w:rsidRPr="6D22302F">
        <w:rPr>
          <w:rFonts w:eastAsia="Aptos" w:cs="Times New Roman"/>
          <w:lang w:val="lt-LT"/>
        </w:rPr>
        <w:t>7</w:t>
      </w:r>
      <w:r w:rsidRPr="6D22302F">
        <w:rPr>
          <w:rFonts w:eastAsia="Aptos" w:cs="Times New Roman"/>
          <w:lang w:val="lt-LT"/>
        </w:rPr>
        <w:t xml:space="preserve"> d.</w:t>
      </w:r>
    </w:p>
    <w:p w14:paraId="752257D0" w14:textId="77777777" w:rsidR="003F72C9" w:rsidRPr="00BE2994" w:rsidRDefault="003F72C9" w:rsidP="003F72C9">
      <w:pPr>
        <w:jc w:val="both"/>
        <w:rPr>
          <w:b/>
          <w:bCs/>
          <w:lang w:val="lt-LT"/>
        </w:rPr>
      </w:pPr>
    </w:p>
    <w:p w14:paraId="450E37F7" w14:textId="3F849518" w:rsidR="008E663F" w:rsidRPr="008E663F" w:rsidRDefault="2F3B96D3" w:rsidP="00E47977">
      <w:pPr>
        <w:rPr>
          <w:b/>
          <w:bCs/>
          <w:sz w:val="28"/>
          <w:szCs w:val="28"/>
          <w:lang w:val="lt-LT"/>
        </w:rPr>
      </w:pPr>
      <w:r w:rsidRPr="6D22302F">
        <w:rPr>
          <w:b/>
          <w:bCs/>
          <w:sz w:val="28"/>
          <w:szCs w:val="28"/>
          <w:lang w:val="lt-LT"/>
        </w:rPr>
        <w:t>Kaupiančiųjų antroje pensijų pakopoje turtas perkopė 10 mlrd. eurų</w:t>
      </w:r>
    </w:p>
    <w:p w14:paraId="220C658B" w14:textId="0C9301C4" w:rsidR="00024A6B" w:rsidRDefault="00631630" w:rsidP="00E47977">
      <w:pPr>
        <w:rPr>
          <w:b/>
          <w:bCs/>
          <w:lang w:val="lt-LT"/>
        </w:rPr>
      </w:pPr>
      <w:r w:rsidRPr="00B868D1">
        <w:rPr>
          <w:lang w:val="lt-LT"/>
        </w:rPr>
        <w:br/>
      </w:r>
      <w:r w:rsidR="65D356E9" w:rsidRPr="6D22302F">
        <w:rPr>
          <w:b/>
          <w:bCs/>
          <w:lang w:val="lt-LT"/>
        </w:rPr>
        <w:t xml:space="preserve">II pakopos </w:t>
      </w:r>
      <w:r w:rsidR="72291C38" w:rsidRPr="6D22302F">
        <w:rPr>
          <w:b/>
          <w:bCs/>
          <w:lang w:val="lt-LT"/>
        </w:rPr>
        <w:t xml:space="preserve">pensijų fonduose </w:t>
      </w:r>
      <w:r w:rsidR="65D356E9" w:rsidRPr="6D22302F">
        <w:rPr>
          <w:b/>
          <w:bCs/>
          <w:lang w:val="lt-LT"/>
        </w:rPr>
        <w:t xml:space="preserve">Lietuvos gyventojų </w:t>
      </w:r>
      <w:r w:rsidR="72291C38" w:rsidRPr="6D22302F">
        <w:rPr>
          <w:b/>
          <w:bCs/>
          <w:lang w:val="lt-LT"/>
        </w:rPr>
        <w:t xml:space="preserve">sukauptas turtas </w:t>
      </w:r>
      <w:r w:rsidR="2430663A" w:rsidRPr="6D22302F">
        <w:rPr>
          <w:b/>
          <w:bCs/>
          <w:lang w:val="lt-LT"/>
        </w:rPr>
        <w:t xml:space="preserve">perkopė 10 mlrd. eurų sumą. </w:t>
      </w:r>
      <w:r w:rsidR="674CDC32" w:rsidRPr="6D22302F">
        <w:rPr>
          <w:b/>
          <w:bCs/>
          <w:lang w:val="lt-LT"/>
        </w:rPr>
        <w:t xml:space="preserve">Po pasaulio rinkų sukrėtimo 2025 m. pradžioje, </w:t>
      </w:r>
      <w:r w:rsidR="70CCB16A" w:rsidRPr="6D22302F">
        <w:rPr>
          <w:b/>
          <w:bCs/>
          <w:lang w:val="lt-LT"/>
        </w:rPr>
        <w:t xml:space="preserve">kuriuos nulėmė </w:t>
      </w:r>
      <w:r w:rsidR="674CDC32" w:rsidRPr="6D22302F">
        <w:rPr>
          <w:b/>
          <w:bCs/>
          <w:lang w:val="lt-LT"/>
        </w:rPr>
        <w:t>kontraversišk</w:t>
      </w:r>
      <w:r w:rsidR="70CCB16A" w:rsidRPr="6D22302F">
        <w:rPr>
          <w:b/>
          <w:bCs/>
          <w:lang w:val="lt-LT"/>
        </w:rPr>
        <w:t>i</w:t>
      </w:r>
      <w:r w:rsidR="674CDC32" w:rsidRPr="6D22302F">
        <w:rPr>
          <w:b/>
          <w:bCs/>
          <w:lang w:val="lt-LT"/>
        </w:rPr>
        <w:t xml:space="preserve"> </w:t>
      </w:r>
      <w:r w:rsidR="2F84804B" w:rsidRPr="6D22302F">
        <w:rPr>
          <w:b/>
          <w:bCs/>
          <w:lang w:val="lt-LT"/>
        </w:rPr>
        <w:t>JAV</w:t>
      </w:r>
      <w:r w:rsidR="674CDC32" w:rsidRPr="6D22302F">
        <w:rPr>
          <w:b/>
          <w:bCs/>
          <w:lang w:val="lt-LT"/>
        </w:rPr>
        <w:t xml:space="preserve"> ekonomini</w:t>
      </w:r>
      <w:r w:rsidR="70CCB16A" w:rsidRPr="6D22302F">
        <w:rPr>
          <w:b/>
          <w:bCs/>
          <w:lang w:val="lt-LT"/>
        </w:rPr>
        <w:t>ai</w:t>
      </w:r>
      <w:r w:rsidR="674CDC32" w:rsidRPr="6D22302F">
        <w:rPr>
          <w:b/>
          <w:bCs/>
          <w:lang w:val="lt-LT"/>
        </w:rPr>
        <w:t xml:space="preserve"> sprendim</w:t>
      </w:r>
      <w:r w:rsidR="70CCB16A" w:rsidRPr="6D22302F">
        <w:rPr>
          <w:b/>
          <w:bCs/>
          <w:lang w:val="lt-LT"/>
        </w:rPr>
        <w:t>ai</w:t>
      </w:r>
      <w:r w:rsidR="674CDC32" w:rsidRPr="6D22302F">
        <w:rPr>
          <w:b/>
          <w:bCs/>
          <w:lang w:val="lt-LT"/>
        </w:rPr>
        <w:t xml:space="preserve">, situacija stabilizavosi. </w:t>
      </w:r>
      <w:r w:rsidR="3AD11AE9" w:rsidRPr="6D22302F">
        <w:rPr>
          <w:b/>
          <w:bCs/>
          <w:lang w:val="lt-LT"/>
        </w:rPr>
        <w:t xml:space="preserve">Per pirmus devynis </w:t>
      </w:r>
      <w:r w:rsidR="007EE1C1" w:rsidRPr="6D22302F">
        <w:rPr>
          <w:b/>
          <w:bCs/>
          <w:lang w:val="lt-LT"/>
        </w:rPr>
        <w:t xml:space="preserve">šių metų mėnesius </w:t>
      </w:r>
      <w:r w:rsidR="106BFED0" w:rsidRPr="6D22302F">
        <w:rPr>
          <w:b/>
          <w:bCs/>
          <w:lang w:val="lt-LT"/>
        </w:rPr>
        <w:t xml:space="preserve">nepaisant stiprių rinkų svyravimų pirmąjį ketvirtį </w:t>
      </w:r>
      <w:r w:rsidR="2C83872C" w:rsidRPr="6D22302F">
        <w:rPr>
          <w:b/>
          <w:bCs/>
          <w:lang w:val="lt-LT"/>
        </w:rPr>
        <w:t xml:space="preserve">Lietuvos II pakopos </w:t>
      </w:r>
      <w:r w:rsidR="7630906E" w:rsidRPr="6D22302F">
        <w:rPr>
          <w:b/>
          <w:bCs/>
          <w:lang w:val="lt-LT"/>
        </w:rPr>
        <w:t xml:space="preserve">pensijų fondų </w:t>
      </w:r>
      <w:r w:rsidR="6AED57F8" w:rsidRPr="6D22302F">
        <w:rPr>
          <w:b/>
          <w:bCs/>
          <w:lang w:val="lt-LT"/>
        </w:rPr>
        <w:t>uždirba</w:t>
      </w:r>
      <w:r w:rsidR="7630906E" w:rsidRPr="6D22302F">
        <w:rPr>
          <w:b/>
          <w:bCs/>
          <w:lang w:val="lt-LT"/>
        </w:rPr>
        <w:t xml:space="preserve"> investicinė grąža</w:t>
      </w:r>
      <w:r w:rsidR="7DED5487" w:rsidRPr="6D22302F">
        <w:rPr>
          <w:b/>
          <w:bCs/>
          <w:lang w:val="lt-LT"/>
        </w:rPr>
        <w:t xml:space="preserve"> yra teigiama ir</w:t>
      </w:r>
      <w:r w:rsidR="7630906E" w:rsidRPr="6D22302F">
        <w:rPr>
          <w:b/>
          <w:bCs/>
          <w:lang w:val="lt-LT"/>
        </w:rPr>
        <w:t xml:space="preserve"> siekia </w:t>
      </w:r>
      <w:r w:rsidR="2C83872C" w:rsidRPr="6D22302F">
        <w:rPr>
          <w:b/>
          <w:bCs/>
          <w:lang w:val="lt-LT"/>
        </w:rPr>
        <w:t>+</w:t>
      </w:r>
      <w:r w:rsidR="161284D2" w:rsidRPr="6D22302F">
        <w:rPr>
          <w:b/>
          <w:bCs/>
          <w:lang w:val="lt-LT"/>
        </w:rPr>
        <w:t>3,2 proc.</w:t>
      </w:r>
      <w:r w:rsidR="674CDC32" w:rsidRPr="6D22302F">
        <w:rPr>
          <w:b/>
          <w:bCs/>
          <w:lang w:val="lt-LT"/>
        </w:rPr>
        <w:t xml:space="preserve">, </w:t>
      </w:r>
      <w:r w:rsidR="2C83872C" w:rsidRPr="6D22302F">
        <w:rPr>
          <w:b/>
          <w:bCs/>
          <w:lang w:val="lt-LT"/>
        </w:rPr>
        <w:t xml:space="preserve">o nuo metų pradžios </w:t>
      </w:r>
      <w:r w:rsidR="547459B0" w:rsidRPr="6D22302F">
        <w:rPr>
          <w:b/>
          <w:bCs/>
          <w:lang w:val="lt-LT"/>
        </w:rPr>
        <w:t xml:space="preserve">juose sukauptas turtas padidėjo 306 mln. </w:t>
      </w:r>
      <w:r w:rsidR="45B9ECE2" w:rsidRPr="6D22302F">
        <w:rPr>
          <w:b/>
          <w:bCs/>
          <w:lang w:val="lt-LT"/>
        </w:rPr>
        <w:t>e</w:t>
      </w:r>
      <w:r w:rsidR="547459B0" w:rsidRPr="6D22302F">
        <w:rPr>
          <w:b/>
          <w:bCs/>
          <w:lang w:val="lt-LT"/>
        </w:rPr>
        <w:t>ur</w:t>
      </w:r>
      <w:r w:rsidR="24F545B1" w:rsidRPr="6D22302F">
        <w:rPr>
          <w:b/>
          <w:bCs/>
          <w:lang w:val="lt-LT"/>
        </w:rPr>
        <w:t>ų</w:t>
      </w:r>
      <w:r w:rsidR="547459B0" w:rsidRPr="6D22302F">
        <w:rPr>
          <w:b/>
          <w:bCs/>
          <w:lang w:val="lt-LT"/>
        </w:rPr>
        <w:t xml:space="preserve">. </w:t>
      </w:r>
    </w:p>
    <w:p w14:paraId="3000DFBF" w14:textId="77777777" w:rsidR="00024A6B" w:rsidRDefault="00024A6B" w:rsidP="00E47977">
      <w:pPr>
        <w:rPr>
          <w:b/>
          <w:bCs/>
          <w:lang w:val="lt-LT"/>
        </w:rPr>
      </w:pPr>
    </w:p>
    <w:p w14:paraId="48E3577E" w14:textId="542CEFA9" w:rsidR="004F2296" w:rsidRPr="004F2296" w:rsidRDefault="1DB0BCA1" w:rsidP="00BE2994">
      <w:pPr>
        <w:rPr>
          <w:lang w:val="lt-LT"/>
        </w:rPr>
      </w:pPr>
      <w:r w:rsidRPr="6D22302F">
        <w:rPr>
          <w:lang w:val="lt-LT"/>
        </w:rPr>
        <w:t>Nuo 2004 metų, kai Lietuvoje pradėjo veikti pensijų kaupimo sistema</w:t>
      </w:r>
      <w:r w:rsidR="4843386B" w:rsidRPr="6D22302F">
        <w:rPr>
          <w:lang w:val="lt-LT"/>
        </w:rPr>
        <w:t xml:space="preserve"> d</w:t>
      </w:r>
      <w:r w:rsidRPr="6D22302F">
        <w:rPr>
          <w:lang w:val="lt-LT"/>
        </w:rPr>
        <w:t>ėl sėkmingų investicijų gyventojų nauda, t. y. uždirbtas pelnas ir išmokėtos lėšos, šiuo metu siekia apie 3,75 mlrd. eurų.</w:t>
      </w:r>
    </w:p>
    <w:p w14:paraId="49A49D03" w14:textId="77777777" w:rsidR="00D15C75" w:rsidRDefault="00D15C75" w:rsidP="00BE2994">
      <w:pPr>
        <w:rPr>
          <w:lang w:val="lt-LT"/>
        </w:rPr>
      </w:pPr>
    </w:p>
    <w:p w14:paraId="64B1E5ED" w14:textId="346E5E40" w:rsidR="00D15C75" w:rsidRPr="00BE2994" w:rsidRDefault="00F1576A" w:rsidP="00BE2994">
      <w:pPr>
        <w:rPr>
          <w:lang w:val="lt-LT"/>
        </w:rPr>
      </w:pPr>
      <w:r>
        <w:rPr>
          <w:lang w:val="lt-LT"/>
        </w:rPr>
        <w:t>„</w:t>
      </w:r>
      <w:r w:rsidR="00326E8C">
        <w:rPr>
          <w:lang w:val="lt-LT"/>
        </w:rPr>
        <w:t>Pirmaisiais š</w:t>
      </w:r>
      <w:r>
        <w:rPr>
          <w:lang w:val="lt-LT"/>
        </w:rPr>
        <w:t xml:space="preserve">ių metų </w:t>
      </w:r>
      <w:r w:rsidR="00326E8C">
        <w:rPr>
          <w:lang w:val="lt-LT"/>
        </w:rPr>
        <w:t xml:space="preserve">mėnesiais </w:t>
      </w:r>
      <w:r w:rsidR="004F2296">
        <w:rPr>
          <w:lang w:val="lt-LT"/>
        </w:rPr>
        <w:t>JAV</w:t>
      </w:r>
      <w:r w:rsidR="00326E8C">
        <w:rPr>
          <w:lang w:val="lt-LT"/>
        </w:rPr>
        <w:t xml:space="preserve"> </w:t>
      </w:r>
      <w:r w:rsidR="00362D40">
        <w:rPr>
          <w:lang w:val="lt-LT"/>
        </w:rPr>
        <w:t xml:space="preserve">paskelbtų politinių </w:t>
      </w:r>
      <w:r w:rsidR="00AA2AA1">
        <w:rPr>
          <w:lang w:val="lt-LT"/>
        </w:rPr>
        <w:t xml:space="preserve">ir ekonominių </w:t>
      </w:r>
      <w:r w:rsidR="00362D40">
        <w:rPr>
          <w:lang w:val="lt-LT"/>
        </w:rPr>
        <w:t xml:space="preserve">sprendimų pasekmes jautė </w:t>
      </w:r>
      <w:r w:rsidR="00326E8C">
        <w:rPr>
          <w:lang w:val="lt-LT"/>
        </w:rPr>
        <w:t>finansų rink</w:t>
      </w:r>
      <w:r w:rsidR="00362D40">
        <w:rPr>
          <w:lang w:val="lt-LT"/>
        </w:rPr>
        <w:t>os</w:t>
      </w:r>
      <w:r w:rsidR="00326E8C">
        <w:rPr>
          <w:lang w:val="lt-LT"/>
        </w:rPr>
        <w:t xml:space="preserve"> </w:t>
      </w:r>
      <w:r w:rsidR="00362D40">
        <w:rPr>
          <w:lang w:val="lt-LT"/>
        </w:rPr>
        <w:t>visame pasaulyje</w:t>
      </w:r>
      <w:r w:rsidR="00186CE3">
        <w:rPr>
          <w:lang w:val="lt-LT"/>
        </w:rPr>
        <w:t>, L</w:t>
      </w:r>
      <w:r w:rsidR="00362D40">
        <w:rPr>
          <w:lang w:val="lt-LT"/>
        </w:rPr>
        <w:t>ietuvos pensijų fondai – taip pat</w:t>
      </w:r>
      <w:r w:rsidR="00186CE3">
        <w:rPr>
          <w:lang w:val="lt-LT"/>
        </w:rPr>
        <w:t xml:space="preserve">. </w:t>
      </w:r>
      <w:r w:rsidR="00186CE3" w:rsidRPr="00186CE3">
        <w:rPr>
          <w:lang w:val="lt-LT"/>
        </w:rPr>
        <w:t xml:space="preserve">Nepaisant trumpalaikių rinkų svyravimų, gyventojų sukauptas turtas nuosekliai auga. Šie metai taip pat išlieka pelningi, o pensijų fondų grąža juda aukštyn. Tai rodo, kad sistema veikia stabiliai ir </w:t>
      </w:r>
      <w:r w:rsidR="00362D40" w:rsidRPr="00186CE3">
        <w:rPr>
          <w:lang w:val="lt-LT"/>
        </w:rPr>
        <w:t xml:space="preserve"> </w:t>
      </w:r>
      <w:r w:rsidR="00186CE3" w:rsidRPr="00186CE3">
        <w:rPr>
          <w:lang w:val="lt-LT"/>
        </w:rPr>
        <w:t>užtikrina realią naudą kaupiantiems</w:t>
      </w:r>
      <w:r w:rsidR="0019620A">
        <w:rPr>
          <w:lang w:val="lt-LT"/>
        </w:rPr>
        <w:t xml:space="preserve">“, – konstatuoja </w:t>
      </w:r>
      <w:r w:rsidR="0019620A" w:rsidRPr="00BE2994">
        <w:rPr>
          <w:lang w:val="lt-LT"/>
        </w:rPr>
        <w:t>Lietuvos investicinių ir pensijų fondų asociacija (LIPFA) vadovas Tadas Gudaitis</w:t>
      </w:r>
      <w:r w:rsidR="0019620A">
        <w:rPr>
          <w:lang w:val="lt-LT"/>
        </w:rPr>
        <w:t xml:space="preserve">. </w:t>
      </w:r>
    </w:p>
    <w:p w14:paraId="511AD03A" w14:textId="77777777" w:rsidR="00BE2994" w:rsidRPr="00BE2994" w:rsidRDefault="00BE2994" w:rsidP="00BE2994">
      <w:pPr>
        <w:rPr>
          <w:lang w:val="lt-LT"/>
        </w:rPr>
      </w:pPr>
    </w:p>
    <w:p w14:paraId="10ADA9DA" w14:textId="1F068185" w:rsidR="004E18D7" w:rsidRPr="00186CE3" w:rsidRDefault="46D030D1" w:rsidP="00BE2994">
      <w:pPr>
        <w:rPr>
          <w:lang w:val="lt-LT"/>
        </w:rPr>
      </w:pPr>
      <w:r w:rsidRPr="6D22302F">
        <w:rPr>
          <w:lang w:val="lt-LT"/>
        </w:rPr>
        <w:t>Ši</w:t>
      </w:r>
      <w:r w:rsidR="0B9D1F3B" w:rsidRPr="6D22302F">
        <w:rPr>
          <w:lang w:val="lt-LT"/>
        </w:rPr>
        <w:t>ų metų trečiąjį ketvirtį</w:t>
      </w:r>
      <w:r w:rsidRPr="6D22302F">
        <w:rPr>
          <w:lang w:val="lt-LT"/>
        </w:rPr>
        <w:t xml:space="preserve"> Lietuvos II pakopos pensijų fondai, valdomi gyvenimo ciklo principu, uždirbo vidutinę </w:t>
      </w:r>
      <w:r w:rsidR="0B9D1F3B" w:rsidRPr="6D22302F">
        <w:rPr>
          <w:lang w:val="lt-LT"/>
        </w:rPr>
        <w:t>+</w:t>
      </w:r>
      <w:r w:rsidR="0B9D1F3B" w:rsidRPr="00B868D1">
        <w:rPr>
          <w:lang w:val="lt-LT"/>
        </w:rPr>
        <w:t>4,72</w:t>
      </w:r>
      <w:r w:rsidRPr="6D22302F">
        <w:rPr>
          <w:lang w:val="lt-LT"/>
        </w:rPr>
        <w:t xml:space="preserve"> proc. grąžą kaupiantiesiems. Nuo veiklos pradžios 20</w:t>
      </w:r>
      <w:r w:rsidR="7AB6834D" w:rsidRPr="6D22302F">
        <w:rPr>
          <w:lang w:val="lt-LT"/>
        </w:rPr>
        <w:t>19</w:t>
      </w:r>
      <w:r w:rsidRPr="6D22302F">
        <w:rPr>
          <w:lang w:val="lt-LT"/>
        </w:rPr>
        <w:t xml:space="preserve"> met</w:t>
      </w:r>
      <w:r w:rsidR="19F25039" w:rsidRPr="6D22302F">
        <w:rPr>
          <w:lang w:val="lt-LT"/>
        </w:rPr>
        <w:t>ais</w:t>
      </w:r>
      <w:r w:rsidRPr="6D22302F">
        <w:rPr>
          <w:lang w:val="lt-LT"/>
        </w:rPr>
        <w:t xml:space="preserve"> šių fondų bendra grąža siekia apie </w:t>
      </w:r>
      <w:r w:rsidR="0B9D1F3B" w:rsidRPr="6D22302F">
        <w:rPr>
          <w:lang w:val="lt-LT"/>
        </w:rPr>
        <w:t>+</w:t>
      </w:r>
      <w:r w:rsidRPr="6D22302F">
        <w:rPr>
          <w:lang w:val="lt-LT"/>
        </w:rPr>
        <w:t>83,5 proc.</w:t>
      </w:r>
    </w:p>
    <w:p w14:paraId="3D771348" w14:textId="77777777" w:rsidR="00186CE3" w:rsidRPr="004E18D7" w:rsidRDefault="00186CE3" w:rsidP="00BE2994">
      <w:pPr>
        <w:rPr>
          <w:lang w:val="lt-LT"/>
        </w:rPr>
      </w:pPr>
    </w:p>
    <w:p w14:paraId="31F4CFF0" w14:textId="44D1BC3B" w:rsidR="00BE2994" w:rsidRPr="00BE2994" w:rsidRDefault="00714F5B" w:rsidP="00BE2994">
      <w:pPr>
        <w:rPr>
          <w:b/>
          <w:bCs/>
          <w:lang w:val="lt-LT"/>
        </w:rPr>
      </w:pPr>
      <w:r w:rsidRPr="6D22302F">
        <w:rPr>
          <w:b/>
          <w:bCs/>
          <w:lang w:val="lt-LT"/>
        </w:rPr>
        <w:t xml:space="preserve">Vienos amžiaus grupės turtas II pakopoje jau beveik padvigubėjo </w:t>
      </w:r>
      <w:r w:rsidR="00BE2994" w:rsidRPr="6D22302F">
        <w:rPr>
          <w:b/>
          <w:bCs/>
          <w:lang w:val="lt-LT"/>
        </w:rPr>
        <w:t xml:space="preserve"> </w:t>
      </w:r>
    </w:p>
    <w:p w14:paraId="355579E5" w14:textId="77777777" w:rsidR="00BE2994" w:rsidRPr="00BE2994" w:rsidRDefault="00BE2994" w:rsidP="00BE2994">
      <w:pPr>
        <w:rPr>
          <w:lang w:val="lt-LT"/>
        </w:rPr>
      </w:pPr>
    </w:p>
    <w:p w14:paraId="022FE1D3" w14:textId="5362DD11" w:rsidR="00721D7E" w:rsidRDefault="00763DB2" w:rsidP="00BE2994">
      <w:pPr>
        <w:rPr>
          <w:lang w:val="lt-LT"/>
        </w:rPr>
      </w:pPr>
      <w:r>
        <w:rPr>
          <w:lang w:val="lt-LT"/>
        </w:rPr>
        <w:t xml:space="preserve">2025 m. iš visų II pakopos pensijų fondų </w:t>
      </w:r>
      <w:r w:rsidR="00BE2994" w:rsidRPr="00BE2994">
        <w:rPr>
          <w:lang w:val="lt-LT"/>
        </w:rPr>
        <w:t>daugiausiai (</w:t>
      </w:r>
      <w:r w:rsidR="0013693D">
        <w:rPr>
          <w:lang w:val="lt-LT"/>
        </w:rPr>
        <w:t>+</w:t>
      </w:r>
      <w:r w:rsidR="00BE2994" w:rsidRPr="00BE2994">
        <w:rPr>
          <w:lang w:val="lt-LT"/>
        </w:rPr>
        <w:t>3,</w:t>
      </w:r>
      <w:r w:rsidR="00657249">
        <w:rPr>
          <w:lang w:val="lt-LT"/>
        </w:rPr>
        <w:t>23</w:t>
      </w:r>
      <w:r w:rsidR="00BE2994" w:rsidRPr="00BE2994">
        <w:rPr>
          <w:lang w:val="lt-LT"/>
        </w:rPr>
        <w:t xml:space="preserve"> proc.) </w:t>
      </w:r>
      <w:r w:rsidR="00657249">
        <w:rPr>
          <w:lang w:val="lt-LT"/>
        </w:rPr>
        <w:t xml:space="preserve">paaugo </w:t>
      </w:r>
      <w:r w:rsidR="00D3214B">
        <w:rPr>
          <w:lang w:val="lt-LT"/>
        </w:rPr>
        <w:t>65</w:t>
      </w:r>
      <w:r w:rsidR="00C65262">
        <w:rPr>
          <w:lang w:val="lt-LT"/>
        </w:rPr>
        <w:t>–</w:t>
      </w:r>
      <w:r w:rsidR="00D3214B">
        <w:rPr>
          <w:lang w:val="lt-LT"/>
        </w:rPr>
        <w:t xml:space="preserve">71 m. </w:t>
      </w:r>
      <w:r w:rsidR="00BE2994" w:rsidRPr="00BE2994">
        <w:rPr>
          <w:lang w:val="lt-LT"/>
        </w:rPr>
        <w:t xml:space="preserve">amžiaus kaupiančiųjų </w:t>
      </w:r>
      <w:r w:rsidR="00C16461">
        <w:rPr>
          <w:lang w:val="lt-LT"/>
        </w:rPr>
        <w:t>turtas</w:t>
      </w:r>
      <w:r w:rsidR="00BE2994" w:rsidRPr="00BE2994">
        <w:rPr>
          <w:lang w:val="lt-LT"/>
        </w:rPr>
        <w:t xml:space="preserve">. </w:t>
      </w:r>
    </w:p>
    <w:p w14:paraId="7D0C622B" w14:textId="77777777" w:rsidR="00721D7E" w:rsidRDefault="00721D7E" w:rsidP="00BE2994">
      <w:pPr>
        <w:rPr>
          <w:lang w:val="lt-LT"/>
        </w:rPr>
      </w:pPr>
    </w:p>
    <w:p w14:paraId="17D9F425" w14:textId="6A986F0C" w:rsidR="00BE2994" w:rsidRDefault="31379B68" w:rsidP="00BE2994">
      <w:pPr>
        <w:rPr>
          <w:lang w:val="lt-LT"/>
        </w:rPr>
      </w:pPr>
      <w:r w:rsidRPr="6D22302F">
        <w:rPr>
          <w:lang w:val="lt-LT"/>
        </w:rPr>
        <w:t>Skaičiuojant nuo gyvenimo ciklo fondų veiklos pradžios</w:t>
      </w:r>
      <w:r w:rsidR="112DC581" w:rsidRPr="6D22302F">
        <w:rPr>
          <w:lang w:val="lt-LT"/>
        </w:rPr>
        <w:t xml:space="preserve"> </w:t>
      </w:r>
      <w:r w:rsidR="6C2F5482" w:rsidRPr="6D22302F">
        <w:rPr>
          <w:lang w:val="lt-LT"/>
        </w:rPr>
        <w:t>2019</w:t>
      </w:r>
      <w:r w:rsidR="112DC581" w:rsidRPr="6D22302F">
        <w:rPr>
          <w:lang w:val="lt-LT"/>
        </w:rPr>
        <w:t>-aisiais</w:t>
      </w:r>
      <w:r w:rsidRPr="6D22302F">
        <w:rPr>
          <w:lang w:val="lt-LT"/>
        </w:rPr>
        <w:t xml:space="preserve">, </w:t>
      </w:r>
      <w:r w:rsidR="29348001" w:rsidRPr="6D22302F">
        <w:rPr>
          <w:lang w:val="lt-LT"/>
        </w:rPr>
        <w:t xml:space="preserve">didžiausia </w:t>
      </w:r>
      <w:r w:rsidRPr="6D22302F">
        <w:rPr>
          <w:lang w:val="lt-LT"/>
        </w:rPr>
        <w:t>investicin</w:t>
      </w:r>
      <w:r w:rsidR="29348001" w:rsidRPr="6D22302F">
        <w:rPr>
          <w:lang w:val="lt-LT"/>
        </w:rPr>
        <w:t>e</w:t>
      </w:r>
      <w:r w:rsidRPr="6D22302F">
        <w:rPr>
          <w:lang w:val="lt-LT"/>
        </w:rPr>
        <w:t xml:space="preserve"> grąža </w:t>
      </w:r>
      <w:r w:rsidR="29348001" w:rsidRPr="6D22302F">
        <w:rPr>
          <w:lang w:val="lt-LT"/>
        </w:rPr>
        <w:t xml:space="preserve">šiuo metu gali pasigirti </w:t>
      </w:r>
      <w:r w:rsidR="7C9A7562" w:rsidRPr="6D22302F">
        <w:rPr>
          <w:lang w:val="lt-LT"/>
        </w:rPr>
        <w:t>44–50 m. amžiaus kaupiantieji</w:t>
      </w:r>
      <w:r w:rsidR="431972FA" w:rsidRPr="6D22302F">
        <w:rPr>
          <w:lang w:val="lt-LT"/>
        </w:rPr>
        <w:t xml:space="preserve">. Jų </w:t>
      </w:r>
      <w:r w:rsidR="21ED3232" w:rsidRPr="6D22302F">
        <w:rPr>
          <w:lang w:val="lt-LT"/>
        </w:rPr>
        <w:t xml:space="preserve">II pakopoje kaupiamas turtas per pastaruosius </w:t>
      </w:r>
      <w:r w:rsidR="774E55F2" w:rsidRPr="6D22302F">
        <w:rPr>
          <w:lang w:val="lt-LT"/>
        </w:rPr>
        <w:t>6</w:t>
      </w:r>
      <w:r w:rsidR="21ED3232" w:rsidRPr="6D22302F">
        <w:rPr>
          <w:lang w:val="lt-LT"/>
        </w:rPr>
        <w:t xml:space="preserve">-erius metus jau beveik padvigubėjo </w:t>
      </w:r>
      <w:r w:rsidR="60EC9264" w:rsidRPr="6D22302F">
        <w:rPr>
          <w:lang w:val="lt-LT"/>
        </w:rPr>
        <w:t xml:space="preserve">– išaugo 98,5 proc. </w:t>
      </w:r>
      <w:r w:rsidR="68D7AA2F" w:rsidRPr="6D22302F">
        <w:rPr>
          <w:lang w:val="lt-LT"/>
        </w:rPr>
        <w:t xml:space="preserve">Virš 90 proc. </w:t>
      </w:r>
      <w:r w:rsidR="466A811D" w:rsidRPr="6D22302F">
        <w:rPr>
          <w:lang w:val="lt-LT"/>
        </w:rPr>
        <w:t xml:space="preserve">siekiantį kapitalo </w:t>
      </w:r>
      <w:r w:rsidR="68D7AA2F" w:rsidRPr="6D22302F">
        <w:rPr>
          <w:lang w:val="lt-LT"/>
        </w:rPr>
        <w:t xml:space="preserve">augimą </w:t>
      </w:r>
      <w:r w:rsidR="6246428F" w:rsidRPr="6D22302F">
        <w:rPr>
          <w:lang w:val="lt-LT"/>
        </w:rPr>
        <w:t>nuo 20</w:t>
      </w:r>
      <w:r w:rsidR="3188BF34" w:rsidRPr="6D22302F">
        <w:rPr>
          <w:lang w:val="lt-LT"/>
        </w:rPr>
        <w:t>19</w:t>
      </w:r>
      <w:r w:rsidR="148621D3" w:rsidRPr="6D22302F">
        <w:rPr>
          <w:lang w:val="lt-LT"/>
        </w:rPr>
        <w:t xml:space="preserve"> </w:t>
      </w:r>
      <w:r w:rsidR="6246428F" w:rsidRPr="6D22302F">
        <w:rPr>
          <w:lang w:val="lt-LT"/>
        </w:rPr>
        <w:t xml:space="preserve">m. </w:t>
      </w:r>
      <w:r w:rsidR="466A811D" w:rsidRPr="6D22302F">
        <w:rPr>
          <w:lang w:val="lt-LT"/>
        </w:rPr>
        <w:t xml:space="preserve">taip pat fiksuoja ir visų vėliau nei 1981 m. gimusių Lietuvos piliečių </w:t>
      </w:r>
      <w:r w:rsidR="2248F69B" w:rsidRPr="6D22302F">
        <w:rPr>
          <w:lang w:val="lt-LT"/>
        </w:rPr>
        <w:t xml:space="preserve">amžiaus grupių fondai. </w:t>
      </w:r>
    </w:p>
    <w:p w14:paraId="1CF77D26" w14:textId="77777777" w:rsidR="000B6894" w:rsidRDefault="000B6894" w:rsidP="00BE2994">
      <w:pPr>
        <w:rPr>
          <w:lang w:val="lt-LT"/>
        </w:rPr>
      </w:pPr>
    </w:p>
    <w:p w14:paraId="66BCF68A" w14:textId="66953585" w:rsidR="000B6894" w:rsidRDefault="26318922" w:rsidP="00BE2994">
      <w:pPr>
        <w:rPr>
          <w:lang w:val="lt-LT"/>
        </w:rPr>
      </w:pPr>
      <w:r w:rsidRPr="6D22302F">
        <w:rPr>
          <w:lang w:val="lt-LT"/>
        </w:rPr>
        <w:t xml:space="preserve">Vyresnių nei </w:t>
      </w:r>
      <w:r w:rsidR="2FBD136C" w:rsidRPr="6D22302F">
        <w:rPr>
          <w:lang w:val="lt-LT"/>
        </w:rPr>
        <w:t xml:space="preserve">50 m. amžiaus kaupiančiųjų </w:t>
      </w:r>
      <w:r w:rsidR="2D04D172" w:rsidRPr="6D22302F">
        <w:rPr>
          <w:lang w:val="lt-LT"/>
        </w:rPr>
        <w:t xml:space="preserve">fondai </w:t>
      </w:r>
      <w:r w:rsidR="659C0664" w:rsidRPr="6D22302F">
        <w:rPr>
          <w:lang w:val="lt-LT"/>
        </w:rPr>
        <w:t xml:space="preserve">po truputį mažina investavimo riziką ir </w:t>
      </w:r>
      <w:r w:rsidR="2D04D172" w:rsidRPr="6D22302F">
        <w:rPr>
          <w:lang w:val="lt-LT"/>
        </w:rPr>
        <w:t xml:space="preserve">jau laikosi konservatyvesnės investavimo politikos, </w:t>
      </w:r>
      <w:r w:rsidR="659C0664" w:rsidRPr="6D22302F">
        <w:rPr>
          <w:lang w:val="lt-LT"/>
        </w:rPr>
        <w:t xml:space="preserve">tad ir jų bendra investicinė grąža </w:t>
      </w:r>
      <w:r w:rsidR="21F211BF" w:rsidRPr="6D22302F">
        <w:rPr>
          <w:lang w:val="lt-LT"/>
        </w:rPr>
        <w:t xml:space="preserve">yra </w:t>
      </w:r>
      <w:r w:rsidR="4F9EA43A" w:rsidRPr="6D22302F">
        <w:rPr>
          <w:lang w:val="lt-LT"/>
        </w:rPr>
        <w:t xml:space="preserve">šiek tiek </w:t>
      </w:r>
      <w:r w:rsidR="21F211BF" w:rsidRPr="6D22302F">
        <w:rPr>
          <w:lang w:val="lt-LT"/>
        </w:rPr>
        <w:t>mažesnė</w:t>
      </w:r>
      <w:r w:rsidR="4F9EA43A" w:rsidRPr="6D22302F">
        <w:rPr>
          <w:lang w:val="lt-LT"/>
        </w:rPr>
        <w:t>.</w:t>
      </w:r>
      <w:r w:rsidR="21F211BF" w:rsidRPr="6D22302F">
        <w:rPr>
          <w:lang w:val="lt-LT"/>
        </w:rPr>
        <w:t xml:space="preserve"> Pavyzdžiui, </w:t>
      </w:r>
      <w:r w:rsidR="4F9EA43A" w:rsidRPr="00B868D1">
        <w:rPr>
          <w:lang w:val="lt-LT"/>
        </w:rPr>
        <w:t>51</w:t>
      </w:r>
      <w:r w:rsidR="4F9EA43A" w:rsidRPr="6D22302F">
        <w:rPr>
          <w:lang w:val="lt-LT"/>
        </w:rPr>
        <w:t>–</w:t>
      </w:r>
      <w:r w:rsidR="4F9EA43A" w:rsidRPr="00B868D1">
        <w:rPr>
          <w:lang w:val="lt-LT"/>
        </w:rPr>
        <w:t>57 m. am</w:t>
      </w:r>
      <w:r w:rsidR="4F9EA43A" w:rsidRPr="6D22302F">
        <w:rPr>
          <w:lang w:val="lt-LT"/>
        </w:rPr>
        <w:t xml:space="preserve">žiaus </w:t>
      </w:r>
      <w:r w:rsidR="16AC5962" w:rsidRPr="6D22302F">
        <w:rPr>
          <w:lang w:val="lt-LT"/>
        </w:rPr>
        <w:t>kaupiančiųjų fondų grąž</w:t>
      </w:r>
      <w:r w:rsidR="3B75C90D" w:rsidRPr="6D22302F">
        <w:rPr>
          <w:lang w:val="lt-LT"/>
        </w:rPr>
        <w:t>os vidurkis nuo 20</w:t>
      </w:r>
      <w:r w:rsidR="0521AD6E" w:rsidRPr="6D22302F">
        <w:rPr>
          <w:lang w:val="lt-LT"/>
        </w:rPr>
        <w:t>19</w:t>
      </w:r>
      <w:r w:rsidR="3B75C90D" w:rsidRPr="6D22302F">
        <w:rPr>
          <w:lang w:val="lt-LT"/>
        </w:rPr>
        <w:t xml:space="preserve">-ųjų yra 83 proc., o </w:t>
      </w:r>
      <w:r w:rsidR="4F9EA43A" w:rsidRPr="6D22302F">
        <w:rPr>
          <w:lang w:val="lt-LT"/>
        </w:rPr>
        <w:t>58–</w:t>
      </w:r>
      <w:r w:rsidR="4F9EA43A" w:rsidRPr="00B868D1">
        <w:rPr>
          <w:lang w:val="lt-LT"/>
        </w:rPr>
        <w:t>64</w:t>
      </w:r>
      <w:r w:rsidR="4F9EA43A" w:rsidRPr="6D22302F">
        <w:rPr>
          <w:lang w:val="lt-LT"/>
        </w:rPr>
        <w:t xml:space="preserve"> amžiaus grupės</w:t>
      </w:r>
      <w:r w:rsidR="74D2B6CF" w:rsidRPr="6D22302F">
        <w:rPr>
          <w:lang w:val="lt-LT"/>
        </w:rPr>
        <w:t xml:space="preserve"> – šiek tiek daugiau nei 47 proc. </w:t>
      </w:r>
    </w:p>
    <w:p w14:paraId="06F1640F" w14:textId="77777777" w:rsidR="00646646" w:rsidRDefault="00646646" w:rsidP="00BE2994">
      <w:pPr>
        <w:rPr>
          <w:lang w:val="lt-LT"/>
        </w:rPr>
      </w:pPr>
    </w:p>
    <w:p w14:paraId="6FFC6BB6" w14:textId="5F3C2364" w:rsidR="00646646" w:rsidRDefault="00646646" w:rsidP="00BE2994">
      <w:pPr>
        <w:rPr>
          <w:lang w:val="lt-LT"/>
        </w:rPr>
      </w:pPr>
      <w:r>
        <w:rPr>
          <w:lang w:val="lt-LT"/>
        </w:rPr>
        <w:t xml:space="preserve">„Šie rezultatai rodo ne tik </w:t>
      </w:r>
      <w:r w:rsidR="0053301A">
        <w:rPr>
          <w:lang w:val="lt-LT"/>
        </w:rPr>
        <w:t xml:space="preserve">pasiteisinančią </w:t>
      </w:r>
      <w:r>
        <w:rPr>
          <w:lang w:val="lt-LT"/>
        </w:rPr>
        <w:t xml:space="preserve">gyvenimo ciklo </w:t>
      </w:r>
      <w:r w:rsidR="008D0DC7">
        <w:rPr>
          <w:lang w:val="lt-LT"/>
        </w:rPr>
        <w:t xml:space="preserve">pagrindu veikiančių </w:t>
      </w:r>
      <w:r>
        <w:rPr>
          <w:lang w:val="lt-LT"/>
        </w:rPr>
        <w:t xml:space="preserve">pensijų fondų investavimo </w:t>
      </w:r>
      <w:r w:rsidR="002B5A27">
        <w:rPr>
          <w:lang w:val="lt-LT"/>
        </w:rPr>
        <w:t xml:space="preserve">strategiją, bet ir patvirtina teiginį, kad papildomas kaupimas pensijai yra maratonas, o ne sprintas. </w:t>
      </w:r>
      <w:r w:rsidR="00035091">
        <w:rPr>
          <w:lang w:val="lt-LT"/>
        </w:rPr>
        <w:t>Kuo anksčiau pradedama kaupti, tuo didesnės investicinės grąžos galima tikėtis</w:t>
      </w:r>
      <w:r w:rsidR="00E73FAB">
        <w:rPr>
          <w:lang w:val="lt-LT"/>
        </w:rPr>
        <w:t xml:space="preserve">. </w:t>
      </w:r>
      <w:r w:rsidR="00BD4032" w:rsidRPr="00BD4032">
        <w:rPr>
          <w:lang w:val="lt-LT"/>
        </w:rPr>
        <w:t>Anksti pradėtos investicijos leidžia sukauptam turtui augti sparčiau ir užtikrinti didesnę finansinę naudą ateityje</w:t>
      </w:r>
      <w:r w:rsidR="00E73FAB">
        <w:rPr>
          <w:lang w:val="lt-LT"/>
        </w:rPr>
        <w:t xml:space="preserve">“, – pabrėžia T. Gudaitis. </w:t>
      </w:r>
    </w:p>
    <w:p w14:paraId="0961339E" w14:textId="77777777" w:rsidR="00A908B7" w:rsidRPr="00BE2994" w:rsidRDefault="00A908B7" w:rsidP="00BE2994">
      <w:pPr>
        <w:rPr>
          <w:lang w:val="lt-LT"/>
        </w:rPr>
      </w:pPr>
    </w:p>
    <w:p w14:paraId="56E4308C" w14:textId="4504264D" w:rsidR="00BE2994" w:rsidRPr="00BE2994" w:rsidRDefault="00BE2994" w:rsidP="00BE2994">
      <w:pPr>
        <w:rPr>
          <w:b/>
          <w:bCs/>
          <w:lang w:val="lt-LT"/>
        </w:rPr>
      </w:pPr>
      <w:r w:rsidRPr="6D22302F">
        <w:rPr>
          <w:b/>
          <w:bCs/>
          <w:lang w:val="lt-LT"/>
        </w:rPr>
        <w:t xml:space="preserve">III pakopos fondų grąža </w:t>
      </w:r>
      <w:r w:rsidR="0043059F" w:rsidRPr="6D22302F">
        <w:rPr>
          <w:b/>
          <w:bCs/>
          <w:lang w:val="lt-LT"/>
        </w:rPr>
        <w:t xml:space="preserve">taip pat teigiama </w:t>
      </w:r>
    </w:p>
    <w:p w14:paraId="15C1D2E0" w14:textId="77777777" w:rsidR="00BE2994" w:rsidRDefault="00BE2994" w:rsidP="00BE2994">
      <w:pPr>
        <w:rPr>
          <w:lang w:val="lt-LT"/>
        </w:rPr>
      </w:pPr>
    </w:p>
    <w:p w14:paraId="2AE6F3EE" w14:textId="177FCF44" w:rsidR="005712D7" w:rsidRPr="00BD4032" w:rsidRDefault="079FC402" w:rsidP="00BE2994">
      <w:pPr>
        <w:rPr>
          <w:lang w:val="lt-LT"/>
        </w:rPr>
      </w:pPr>
      <w:r w:rsidRPr="6D22302F">
        <w:rPr>
          <w:lang w:val="lt-LT"/>
        </w:rPr>
        <w:t xml:space="preserve">Po metų pradžioje vyravusių rinkų svyravimų III pakopos pensijų fondai sėkmingai grįžo į augimo kelią. Nuo metų pradžios jų bendra grąža pasiekė </w:t>
      </w:r>
      <w:r w:rsidR="310170C9" w:rsidRPr="6D22302F">
        <w:rPr>
          <w:lang w:val="lt-LT"/>
        </w:rPr>
        <w:t>2</w:t>
      </w:r>
      <w:r w:rsidRPr="6D22302F">
        <w:rPr>
          <w:lang w:val="lt-LT"/>
        </w:rPr>
        <w:t>,</w:t>
      </w:r>
      <w:r w:rsidR="30B07C92" w:rsidRPr="6D22302F">
        <w:rPr>
          <w:lang w:val="lt-LT"/>
        </w:rPr>
        <w:t>65</w:t>
      </w:r>
      <w:r w:rsidRPr="6D22302F">
        <w:rPr>
          <w:lang w:val="lt-LT"/>
        </w:rPr>
        <w:t xml:space="preserve"> proc., o per pastaruosius tris mėnesius fondų vertė vidutiniškai padidėjo </w:t>
      </w:r>
      <w:r w:rsidR="3EAD9349" w:rsidRPr="6D22302F">
        <w:rPr>
          <w:lang w:val="lt-LT"/>
        </w:rPr>
        <w:t>beveik 5</w:t>
      </w:r>
      <w:r w:rsidRPr="6D22302F">
        <w:rPr>
          <w:lang w:val="lt-LT"/>
        </w:rPr>
        <w:t xml:space="preserve"> proc.</w:t>
      </w:r>
    </w:p>
    <w:p w14:paraId="482A0F5F" w14:textId="77777777" w:rsidR="00BD4032" w:rsidRPr="00BD4032" w:rsidRDefault="00BD4032" w:rsidP="00BE2994">
      <w:pPr>
        <w:rPr>
          <w:lang w:val="lt-LT"/>
        </w:rPr>
      </w:pPr>
    </w:p>
    <w:p w14:paraId="2FA9D317" w14:textId="46A88952" w:rsidR="000A7C67" w:rsidRDefault="75718263" w:rsidP="00CC1870">
      <w:pPr>
        <w:rPr>
          <w:lang w:val="lt-LT"/>
        </w:rPr>
      </w:pPr>
      <w:r w:rsidRPr="6D22302F">
        <w:rPr>
          <w:lang w:val="lt-LT"/>
        </w:rPr>
        <w:t>„</w:t>
      </w:r>
      <w:r w:rsidR="079FC402" w:rsidRPr="6D22302F">
        <w:rPr>
          <w:lang w:val="lt-LT"/>
        </w:rPr>
        <w:t>Trečiojoje pakopoje g</w:t>
      </w:r>
      <w:r w:rsidRPr="6D22302F">
        <w:rPr>
          <w:lang w:val="lt-LT"/>
        </w:rPr>
        <w:t xml:space="preserve">eriausią rezultatą per visus 2025-uosius </w:t>
      </w:r>
      <w:r w:rsidR="1EADC8B9" w:rsidRPr="6D22302F">
        <w:rPr>
          <w:lang w:val="lt-LT"/>
        </w:rPr>
        <w:t>metus demonstruoja mišraus investavimo fondai</w:t>
      </w:r>
      <w:r w:rsidR="2B4041B2" w:rsidRPr="6D22302F">
        <w:rPr>
          <w:lang w:val="lt-LT"/>
        </w:rPr>
        <w:t>, kurie dalį lėšų nukreipia į bendrovių akcijas, o dalį į skolos vertybinius popierius</w:t>
      </w:r>
      <w:r w:rsidR="1EADC8B9" w:rsidRPr="6D22302F">
        <w:rPr>
          <w:lang w:val="lt-LT"/>
        </w:rPr>
        <w:t xml:space="preserve">. Jų </w:t>
      </w:r>
      <w:r w:rsidR="048E5E5F" w:rsidRPr="6D22302F">
        <w:rPr>
          <w:lang w:val="lt-LT"/>
        </w:rPr>
        <w:t>investicijų svertinis vidurkis</w:t>
      </w:r>
      <w:r w:rsidR="76CCFEA5" w:rsidRPr="6D22302F">
        <w:rPr>
          <w:lang w:val="lt-LT"/>
        </w:rPr>
        <w:t xml:space="preserve"> šiais metais</w:t>
      </w:r>
      <w:r w:rsidR="048E5E5F" w:rsidRPr="6D22302F">
        <w:rPr>
          <w:lang w:val="lt-LT"/>
        </w:rPr>
        <w:t xml:space="preserve"> siekia </w:t>
      </w:r>
      <w:r w:rsidR="186B9322" w:rsidRPr="6D22302F">
        <w:rPr>
          <w:lang w:val="lt-LT"/>
        </w:rPr>
        <w:t>3</w:t>
      </w:r>
      <w:r w:rsidR="048E5E5F" w:rsidRPr="6D22302F">
        <w:rPr>
          <w:lang w:val="lt-LT"/>
        </w:rPr>
        <w:t>,</w:t>
      </w:r>
      <w:r w:rsidR="033E9B7E" w:rsidRPr="6D22302F">
        <w:rPr>
          <w:lang w:val="lt-LT"/>
        </w:rPr>
        <w:t>03</w:t>
      </w:r>
      <w:r w:rsidR="048E5E5F" w:rsidRPr="6D22302F">
        <w:rPr>
          <w:lang w:val="lt-LT"/>
        </w:rPr>
        <w:t xml:space="preserve"> proc. </w:t>
      </w:r>
      <w:r w:rsidR="69DB32EE" w:rsidRPr="6D22302F">
        <w:rPr>
          <w:lang w:val="lt-LT"/>
        </w:rPr>
        <w:t>Bendras III pakopos pensijų fonduose sukauptas turtas pamažu, bet stabiliai auga</w:t>
      </w:r>
      <w:r w:rsidR="079FC402" w:rsidRPr="6D22302F">
        <w:rPr>
          <w:lang w:val="lt-LT"/>
        </w:rPr>
        <w:t xml:space="preserve"> – </w:t>
      </w:r>
      <w:r w:rsidR="69DB32EE" w:rsidRPr="6D22302F">
        <w:rPr>
          <w:lang w:val="lt-LT"/>
        </w:rPr>
        <w:t xml:space="preserve">nuo šių </w:t>
      </w:r>
      <w:r w:rsidR="3DD60E1C" w:rsidRPr="6D22302F">
        <w:rPr>
          <w:lang w:val="lt-LT"/>
        </w:rPr>
        <w:t xml:space="preserve">metų </w:t>
      </w:r>
      <w:r w:rsidR="15AFFCA3" w:rsidRPr="6D22302F">
        <w:rPr>
          <w:lang w:val="lt-LT"/>
        </w:rPr>
        <w:t xml:space="preserve">pradžios </w:t>
      </w:r>
      <w:r w:rsidR="69DB32EE" w:rsidRPr="6D22302F">
        <w:rPr>
          <w:lang w:val="lt-LT"/>
        </w:rPr>
        <w:t xml:space="preserve">jis padidėjo </w:t>
      </w:r>
      <w:r w:rsidR="4797D48A" w:rsidRPr="6D22302F">
        <w:rPr>
          <w:lang w:val="lt-LT"/>
        </w:rPr>
        <w:t xml:space="preserve">53 mln. eurų, o </w:t>
      </w:r>
      <w:r w:rsidR="69DB32EE" w:rsidRPr="6D22302F">
        <w:rPr>
          <w:lang w:val="lt-LT"/>
        </w:rPr>
        <w:t xml:space="preserve">per pastaruosius 12 mėnesių, </w:t>
      </w:r>
      <w:r w:rsidR="4797D48A" w:rsidRPr="6D22302F">
        <w:rPr>
          <w:lang w:val="lt-LT"/>
        </w:rPr>
        <w:t xml:space="preserve">nuo </w:t>
      </w:r>
      <w:r w:rsidR="3F249208" w:rsidRPr="6D22302F">
        <w:rPr>
          <w:lang w:val="lt-LT"/>
        </w:rPr>
        <w:t xml:space="preserve">2024 m. </w:t>
      </w:r>
      <w:r w:rsidR="69DB32EE" w:rsidRPr="6D22302F">
        <w:rPr>
          <w:lang w:val="lt-LT"/>
        </w:rPr>
        <w:t>spalio 1 d.</w:t>
      </w:r>
      <w:r w:rsidR="119B7C97" w:rsidRPr="6D22302F">
        <w:rPr>
          <w:lang w:val="lt-LT"/>
        </w:rPr>
        <w:t xml:space="preserve"> jau išaugo </w:t>
      </w:r>
      <w:r w:rsidR="3F249208" w:rsidRPr="6D22302F">
        <w:rPr>
          <w:lang w:val="lt-LT"/>
        </w:rPr>
        <w:t>92 mln. eurų</w:t>
      </w:r>
      <w:r w:rsidR="7153BA44" w:rsidRPr="6D22302F">
        <w:rPr>
          <w:lang w:val="lt-LT"/>
        </w:rPr>
        <w:t>“</w:t>
      </w:r>
      <w:r w:rsidR="119B7C97" w:rsidRPr="6D22302F">
        <w:rPr>
          <w:lang w:val="lt-LT"/>
        </w:rPr>
        <w:t xml:space="preserve">, – skaičiuoja T. Gudaitis. </w:t>
      </w:r>
    </w:p>
    <w:p w14:paraId="54F2EFFE" w14:textId="77777777" w:rsidR="005A125D" w:rsidRPr="005A125D" w:rsidRDefault="005A125D" w:rsidP="00BE2994">
      <w:pPr>
        <w:rPr>
          <w:lang w:val="lt-LT"/>
        </w:rPr>
      </w:pPr>
    </w:p>
    <w:p w14:paraId="0B275CC1" w14:textId="2FB65A71" w:rsidR="00BE2994" w:rsidRDefault="00BE2994" w:rsidP="00BE2994">
      <w:pPr>
        <w:rPr>
          <w:lang w:val="lt-LT"/>
        </w:rPr>
      </w:pPr>
      <w:r w:rsidRPr="6D22302F">
        <w:rPr>
          <w:lang w:val="lt-LT"/>
        </w:rPr>
        <w:t xml:space="preserve">Bendra </w:t>
      </w:r>
      <w:r w:rsidR="00AE7265" w:rsidRPr="6D22302F">
        <w:rPr>
          <w:lang w:val="lt-LT"/>
        </w:rPr>
        <w:t xml:space="preserve">III pakopos pensijų fonduose </w:t>
      </w:r>
      <w:r w:rsidRPr="6D22302F">
        <w:rPr>
          <w:lang w:val="lt-LT"/>
        </w:rPr>
        <w:t xml:space="preserve">gyventojų sukaupto turto vertė rugsėjo pabaigoje </w:t>
      </w:r>
      <w:r w:rsidR="00F2111F" w:rsidRPr="6D22302F">
        <w:rPr>
          <w:lang w:val="lt-LT"/>
        </w:rPr>
        <w:t>viršijo 4</w:t>
      </w:r>
      <w:r w:rsidR="1CA698BF" w:rsidRPr="6D22302F">
        <w:rPr>
          <w:lang w:val="lt-LT"/>
        </w:rPr>
        <w:t>82</w:t>
      </w:r>
      <w:r w:rsidR="00F2111F" w:rsidRPr="6D22302F">
        <w:rPr>
          <w:lang w:val="lt-LT"/>
        </w:rPr>
        <w:t xml:space="preserve"> </w:t>
      </w:r>
      <w:r w:rsidRPr="6D22302F">
        <w:rPr>
          <w:lang w:val="lt-LT"/>
        </w:rPr>
        <w:t xml:space="preserve">mln. eurų. </w:t>
      </w:r>
    </w:p>
    <w:p w14:paraId="59AEFA32" w14:textId="5EF3A330" w:rsidR="6D22302F" w:rsidRDefault="6D22302F" w:rsidP="6D22302F">
      <w:pPr>
        <w:rPr>
          <w:lang w:val="lt-LT"/>
        </w:rPr>
      </w:pPr>
    </w:p>
    <w:p w14:paraId="56CB9321" w14:textId="5052DA55" w:rsidR="6D22302F" w:rsidRDefault="6D22302F" w:rsidP="6D22302F">
      <w:pPr>
        <w:jc w:val="both"/>
        <w:rPr>
          <w:rFonts w:eastAsia="Times New Roman" w:cs="Times New Roman"/>
          <w:color w:val="000000" w:themeColor="text1"/>
          <w:lang w:val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70"/>
        <w:gridCol w:w="2055"/>
        <w:gridCol w:w="2730"/>
      </w:tblGrid>
      <w:tr w:rsidR="6D22302F" w14:paraId="3788D313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3BFCD" w14:textId="3BF3B8D0" w:rsidR="6D22302F" w:rsidRPr="00B868D1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sv-SE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II pakopos fondų kategorijos grąžos vidurkis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D54CEA" w14:textId="3E9C57DE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II</w:t>
            </w:r>
            <w:r w:rsidR="24A44F9E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</w:t>
            </w: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ketv</w:t>
            </w:r>
            <w:proofErr w:type="spellEnd"/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. (3 mėn.)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AEB14C" w14:textId="4F18268A" w:rsidR="430C9BF1" w:rsidRDefault="430C9BF1" w:rsidP="6D22302F">
            <w:pP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N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uo 202</w:t>
            </w:r>
            <w:r w:rsidR="6041C727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m.</w:t>
            </w:r>
            <w:r w:rsidR="618D986B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pradžios (</w:t>
            </w:r>
            <w:r w:rsidR="70D8FA49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9 mėn.)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2FD093" w14:textId="4EB71F5A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Nuo GCF veiklos pradžios (2019 m.)</w:t>
            </w:r>
          </w:p>
        </w:tc>
      </w:tr>
      <w:tr w:rsidR="6D22302F" w14:paraId="4E94F253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FCD073" w14:textId="203B0E4D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2003 - 2009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71257B" w14:textId="49948E7B" w:rsidR="083C5A74" w:rsidRDefault="083C5A74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2C9AF125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84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396032" w14:textId="5DB6A9AC" w:rsidR="6182AC51" w:rsidRDefault="6182AC51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1,77%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E9F4A7" w14:textId="394EA326" w:rsidR="6182AC51" w:rsidRDefault="6182AC51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2,23%</w:t>
            </w:r>
          </w:p>
        </w:tc>
      </w:tr>
      <w:tr w:rsidR="6D22302F" w14:paraId="4901D560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15540D8" w14:textId="307C399B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1996 – 2002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69ADEB" w14:textId="66764508" w:rsidR="51DE0324" w:rsidRDefault="51DE0324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,0</w:t>
            </w:r>
            <w:r w:rsidR="5A787330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A65D54" w14:textId="73D1C6EF" w:rsidR="0A159729" w:rsidRDefault="0A159729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,4</w:t>
            </w:r>
            <w:r w:rsidR="12508D43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17E1C8" w14:textId="133A9419" w:rsidR="35598468" w:rsidRDefault="35598468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1,2</w:t>
            </w:r>
            <w:r w:rsidR="7E05708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4EEB4493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4E6D32" w14:textId="24988CE8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1989 – 1995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A0C397" w14:textId="35E85A2B" w:rsidR="1F84F75F" w:rsidRDefault="1F84F75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,8</w:t>
            </w:r>
            <w:r w:rsidR="131511FE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3D3575" w14:textId="49F77F34" w:rsidR="7941B280" w:rsidRDefault="7941B280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37AFC4C6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346930" w14:textId="3300C33E" w:rsidR="213937B3" w:rsidRDefault="213937B3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4,</w:t>
            </w:r>
            <w:r w:rsidR="11F94013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81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200D7750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A4A9E9E" w14:textId="01534F93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1982 – 1988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BE3908" w14:textId="54544294" w:rsidR="21C778E2" w:rsidRDefault="21C778E2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,89%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884898" w14:textId="4ECD3418" w:rsidR="7DBEAFE0" w:rsidRDefault="7DBEAFE0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67D1EA46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66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20937D" w14:textId="0C8912F9" w:rsidR="60353255" w:rsidRDefault="60353255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6,</w:t>
            </w:r>
            <w:r w:rsidR="50F64046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1EFAA6E0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53645DC" w14:textId="79256956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1975 – 1981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8C2F56" w14:textId="236AA400" w:rsidR="0ADF7862" w:rsidRDefault="0ADF7862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,9</w:t>
            </w:r>
            <w:r w:rsidR="250A58E5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E762AB" w14:textId="6372168B" w:rsidR="55A99E75" w:rsidRDefault="55A99E75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0C1D82FB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68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13D16" w14:textId="15C4C907" w:rsidR="49FAD59F" w:rsidRDefault="49FAD59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8,5</w:t>
            </w:r>
            <w:r w:rsidR="53D34E2C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423229FA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A95792B" w14:textId="1CCAF2CF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1968 – 1974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8D5DD2" w14:textId="0308C2AD" w:rsidR="58778407" w:rsidRDefault="58778407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4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385E83B3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39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F33833" w14:textId="24378195" w:rsidR="07EC77C6" w:rsidRDefault="07EC77C6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48AB6A04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BE8EEF" w14:textId="065D4FDA" w:rsidR="012F5C4F" w:rsidRDefault="012F5C4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2604AA5A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6E267A66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A7BC7FB" w14:textId="2F672948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1961 – 1967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2ABABD" w14:textId="48E88BE1" w:rsidR="6D22302F" w:rsidRDefault="6D22302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2,</w:t>
            </w:r>
            <w:r w:rsidR="53751CE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52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B7B7CA" w14:textId="34853BC8" w:rsidR="5B534F2A" w:rsidRDefault="5B534F2A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28A9DEA5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83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34FB8A" w14:textId="7AA75ED9" w:rsidR="6D22302F" w:rsidRDefault="6D22302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4</w:t>
            </w:r>
            <w:r w:rsidR="0994DF24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7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6F525092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7%</w:t>
            </w:r>
          </w:p>
        </w:tc>
      </w:tr>
      <w:tr w:rsidR="6D22302F" w14:paraId="6258D59C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3F117F3" w14:textId="78D8ACDD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Pensija 1954 – 1960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CA0911" w14:textId="764C4497" w:rsidR="5F9FB63B" w:rsidRDefault="5F9FB63B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3DBA9C32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21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DC4942" w14:textId="45481807" w:rsidR="0B49555E" w:rsidRDefault="0B49555E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250FF8B1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5D6AD75" w14:textId="454B75BC" w:rsidR="3FD40EBA" w:rsidRDefault="3FD40EBA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20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05C1549C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0%</w:t>
            </w:r>
          </w:p>
        </w:tc>
      </w:tr>
      <w:tr w:rsidR="6D22302F" w14:paraId="66D60FD5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D776108" w14:textId="446DF52E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Turto išsaugojimo fondas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317F7E" w14:textId="5D2F99C5" w:rsidR="12C19312" w:rsidRDefault="12C19312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553D4E35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48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C46AAC" w14:textId="1F71D6DC" w:rsidR="76CABEE6" w:rsidRDefault="76CABEE6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749B1B1C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76CDFD" w14:textId="675FEEF4" w:rsidR="6D22302F" w:rsidRDefault="6D22302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</w:t>
            </w:r>
            <w:r w:rsidR="3C2E7AA3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2B4F5C5C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52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1D362A34" w14:textId="77777777" w:rsidTr="6D22302F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B5F24D" w14:textId="79239689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Bendras svorinis vidurkis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51F477" w14:textId="7BA12D2B" w:rsidR="14E83732" w:rsidRDefault="14E83732" w:rsidP="6D22302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4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,</w:t>
            </w:r>
            <w:r w:rsidR="080C9D35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72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66C530" w14:textId="75352A82" w:rsidR="5647793D" w:rsidRDefault="5647793D" w:rsidP="6D22302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,</w:t>
            </w:r>
            <w:r w:rsidR="641D1111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58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269BDE" w14:textId="45147837" w:rsidR="58A5C554" w:rsidRDefault="58A5C554" w:rsidP="6D22302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83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,</w:t>
            </w:r>
            <w:r w:rsidR="2B77B7F5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54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</w:tbl>
    <w:p w14:paraId="1F03C3A8" w14:textId="563B1AAE" w:rsidR="6D22302F" w:rsidRDefault="6D22302F" w:rsidP="6D22302F">
      <w:pPr>
        <w:jc w:val="both"/>
        <w:rPr>
          <w:rFonts w:eastAsia="Times New Roman" w:cs="Times New Roman"/>
          <w:color w:val="000000" w:themeColor="text1"/>
          <w:sz w:val="22"/>
          <w:szCs w:val="22"/>
          <w:lang w:val="lt-L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670"/>
        <w:gridCol w:w="2670"/>
      </w:tblGrid>
      <w:tr w:rsidR="6D22302F" w14:paraId="006B3DD8" w14:textId="77777777" w:rsidTr="6D22302F">
        <w:trPr>
          <w:trHeight w:val="30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B300C1" w14:textId="47AF7138" w:rsidR="6D22302F" w:rsidRPr="00B868D1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  <w:lang w:val="sv-SE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III pakopos fondų kategorijos grąžos vidurkis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0ED5DF" w14:textId="38BE2FD5" w:rsidR="4CD986CA" w:rsidRDefault="4CD986CA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2025 m. 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II</w:t>
            </w:r>
            <w:r w:rsidR="47EA3898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I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ketv</w:t>
            </w:r>
            <w:proofErr w:type="spellEnd"/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. (3 mėn.)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E2A07A" w14:textId="7E519A14" w:rsidR="7D594486" w:rsidRDefault="7D594486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N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uo 202</w:t>
            </w:r>
            <w:r w:rsidR="16D7D505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5 m. pradžios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3732BF9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(9 mėn.)</w:t>
            </w:r>
          </w:p>
        </w:tc>
      </w:tr>
      <w:tr w:rsidR="6D22302F" w14:paraId="1A23AA99" w14:textId="77777777" w:rsidTr="6D22302F">
        <w:trPr>
          <w:trHeight w:val="30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376935F" w14:textId="0ADBE879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Didesnės akcijų dalies P3P fondai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4A3A84" w14:textId="5BDD4808" w:rsidR="70C8CBAC" w:rsidRDefault="70C8CBAC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634CCD37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9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BEFF2D" w14:textId="70F36280" w:rsidR="49733B1D" w:rsidRDefault="49733B1D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2,53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16D4AD1A" w14:textId="77777777" w:rsidTr="6D22302F">
        <w:trPr>
          <w:trHeight w:val="30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60741DC" w14:textId="3490C9DD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Mišraus investavimo P3P fondai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5D6DB" w14:textId="7B276648" w:rsidR="5EAA22AD" w:rsidRDefault="5EAA22AD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66124CBB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6%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71FB61" w14:textId="1462D671" w:rsidR="517926EE" w:rsidRDefault="517926EE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170B93A7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03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00E3DA19" w14:textId="77777777" w:rsidTr="6D22302F">
        <w:trPr>
          <w:trHeight w:val="30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6A65FB5" w14:textId="37025938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Mažesnės rizikos P3P fondai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CCD38C" w14:textId="3929DAC8" w:rsidR="6D22302F" w:rsidRDefault="6D22302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1,</w:t>
            </w:r>
            <w:r w:rsidR="70DA8424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05</w:t>
            </w: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D89A28" w14:textId="0D933480" w:rsidR="4BD5D008" w:rsidRDefault="4BD5D008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,</w:t>
            </w:r>
            <w:r w:rsidR="4A9C33A1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52</w:t>
            </w:r>
            <w:r w:rsidR="6D22302F" w:rsidRPr="6D22302F">
              <w:rPr>
                <w:rFonts w:eastAsia="Times New Roman" w:cs="Times New Roman"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</w:tr>
      <w:tr w:rsidR="6D22302F" w14:paraId="21B6AD6F" w14:textId="77777777" w:rsidTr="6D22302F">
        <w:trPr>
          <w:trHeight w:val="300"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5C25E7D" w14:textId="6FC4711A" w:rsidR="6D22302F" w:rsidRDefault="6D22302F" w:rsidP="6D22302F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Bendras svertinis vidurkis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6FA233" w14:textId="20520B75" w:rsidR="113A6513" w:rsidRDefault="113A6513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4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,9</w:t>
            </w:r>
            <w:r w:rsidR="7F35E89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3</w:t>
            </w:r>
            <w:r w:rsidR="6D22302F"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%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D223F34" w14:textId="730FDC6E" w:rsidR="6D22302F" w:rsidRDefault="6D22302F" w:rsidP="6D22302F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6D22302F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val="lt-LT"/>
              </w:rPr>
              <w:t>4,25%</w:t>
            </w:r>
          </w:p>
        </w:tc>
      </w:tr>
    </w:tbl>
    <w:p w14:paraId="69DAFB88" w14:textId="205BB623" w:rsidR="6D22302F" w:rsidRDefault="6D22302F" w:rsidP="6D22302F">
      <w:pPr>
        <w:jc w:val="both"/>
        <w:rPr>
          <w:rFonts w:eastAsia="Times New Roman" w:cs="Times New Roman"/>
          <w:color w:val="000000" w:themeColor="text1"/>
          <w:lang w:val="lt-LT"/>
        </w:rPr>
      </w:pPr>
    </w:p>
    <w:p w14:paraId="15BF6A79" w14:textId="4AC8EE5B" w:rsidR="6D22302F" w:rsidRDefault="6D22302F" w:rsidP="6D22302F">
      <w:pPr>
        <w:spacing w:after="160" w:line="257" w:lineRule="auto"/>
        <w:rPr>
          <w:rFonts w:eastAsia="Times New Roman" w:cs="Times New Roman"/>
          <w:b/>
          <w:bCs/>
          <w:lang w:val="lt-LT"/>
        </w:rPr>
      </w:pPr>
    </w:p>
    <w:p w14:paraId="3960C538" w14:textId="676401ED" w:rsidR="0ADDD54C" w:rsidRDefault="0ADDD54C" w:rsidP="6D22302F">
      <w:pPr>
        <w:spacing w:after="160" w:line="257" w:lineRule="auto"/>
        <w:rPr>
          <w:rFonts w:eastAsia="Times New Roman" w:cs="Times New Roman"/>
          <w:b/>
          <w:bCs/>
          <w:lang w:val="lt-LT"/>
        </w:rPr>
      </w:pPr>
      <w:r w:rsidRPr="6D22302F">
        <w:rPr>
          <w:rFonts w:eastAsia="Times New Roman" w:cs="Times New Roman"/>
          <w:b/>
          <w:bCs/>
          <w:lang w:val="lt-LT"/>
        </w:rPr>
        <w:t xml:space="preserve">Daugiau informacijos: </w:t>
      </w:r>
    </w:p>
    <w:p w14:paraId="4F7492D6" w14:textId="27A26AB0" w:rsidR="0ADDD54C" w:rsidRDefault="0ADDD54C" w:rsidP="6D22302F">
      <w:pPr>
        <w:spacing w:line="257" w:lineRule="auto"/>
        <w:rPr>
          <w:rFonts w:eastAsia="Times New Roman" w:cs="Times New Roman"/>
          <w:lang w:val="lt-LT"/>
        </w:rPr>
      </w:pPr>
      <w:r w:rsidRPr="6D22302F">
        <w:rPr>
          <w:rFonts w:eastAsia="Times New Roman" w:cs="Times New Roman"/>
          <w:lang w:val="lt-LT"/>
        </w:rPr>
        <w:t>Severa Augusta Lukošaitytė</w:t>
      </w:r>
    </w:p>
    <w:p w14:paraId="578302F0" w14:textId="6F16628C" w:rsidR="0ADDD54C" w:rsidRDefault="0ADDD54C" w:rsidP="6D22302F">
      <w:pPr>
        <w:spacing w:line="257" w:lineRule="auto"/>
        <w:rPr>
          <w:rFonts w:eastAsia="Times New Roman" w:cs="Times New Roman"/>
          <w:lang w:val="lt-LT"/>
        </w:rPr>
      </w:pPr>
      <w:r w:rsidRPr="6D22302F">
        <w:rPr>
          <w:rFonts w:eastAsia="Times New Roman" w:cs="Times New Roman"/>
          <w:lang w:val="lt-LT"/>
        </w:rPr>
        <w:t>+3706</w:t>
      </w:r>
      <w:r w:rsidRPr="6D22302F">
        <w:rPr>
          <w:rFonts w:eastAsia="Times New Roman" w:cs="Times New Roman"/>
        </w:rPr>
        <w:t>6767952</w:t>
      </w:r>
      <w:r w:rsidRPr="6D22302F">
        <w:rPr>
          <w:rFonts w:eastAsia="Times New Roman" w:cs="Times New Roman"/>
          <w:lang w:val="lt-LT"/>
        </w:rPr>
        <w:t xml:space="preserve"> </w:t>
      </w:r>
    </w:p>
    <w:p w14:paraId="0CFB04F0" w14:textId="25F2DC66" w:rsidR="0ADDD54C" w:rsidRDefault="0ADDD54C" w:rsidP="6D22302F">
      <w:pPr>
        <w:spacing w:line="257" w:lineRule="auto"/>
        <w:rPr>
          <w:rFonts w:eastAsia="Times New Roman" w:cs="Times New Roman"/>
        </w:rPr>
      </w:pPr>
      <w:hyperlink r:id="rId7">
        <w:r w:rsidRPr="6D22302F">
          <w:rPr>
            <w:rStyle w:val="Hyperlink"/>
            <w:rFonts w:eastAsia="Times New Roman" w:cs="Times New Roman"/>
            <w:color w:val="467886"/>
            <w:lang w:val="lt-LT"/>
          </w:rPr>
          <w:t>info@lipfa.lt</w:t>
        </w:r>
      </w:hyperlink>
    </w:p>
    <w:p w14:paraId="4E89B52A" w14:textId="59977DA7" w:rsidR="6D22302F" w:rsidRDefault="6D22302F" w:rsidP="6D22302F">
      <w:pPr>
        <w:rPr>
          <w:rFonts w:eastAsia="Times New Roman" w:cs="Times New Roman"/>
          <w:lang w:val="lt-LT"/>
        </w:rPr>
      </w:pPr>
    </w:p>
    <w:sectPr w:rsidR="6D22302F">
      <w:head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6C5A" w14:textId="77777777" w:rsidR="00636096" w:rsidRDefault="00636096" w:rsidP="00315DE1">
      <w:r>
        <w:separator/>
      </w:r>
    </w:p>
  </w:endnote>
  <w:endnote w:type="continuationSeparator" w:id="0">
    <w:p w14:paraId="09FE0E9F" w14:textId="77777777" w:rsidR="00636096" w:rsidRDefault="00636096" w:rsidP="003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3410" w14:textId="77777777" w:rsidR="00636096" w:rsidRDefault="00636096" w:rsidP="00315DE1">
      <w:r>
        <w:separator/>
      </w:r>
    </w:p>
  </w:footnote>
  <w:footnote w:type="continuationSeparator" w:id="0">
    <w:p w14:paraId="1D488B34" w14:textId="77777777" w:rsidR="00636096" w:rsidRDefault="00636096" w:rsidP="003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F737" w14:textId="5646B410" w:rsidR="00315DE1" w:rsidRDefault="00315DE1" w:rsidP="00315DE1">
    <w:pPr>
      <w:pStyle w:val="Header"/>
      <w:jc w:val="right"/>
    </w:pPr>
    <w:r>
      <w:rPr>
        <w:noProof/>
      </w:rPr>
      <w:drawing>
        <wp:inline distT="0" distB="0" distL="0" distR="0" wp14:anchorId="78B7DD0A" wp14:editId="44DC6620">
          <wp:extent cx="2392680" cy="388620"/>
          <wp:effectExtent l="0" t="0" r="7620" b="0"/>
          <wp:docPr id="396274517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24"/>
    <w:rsid w:val="0000506E"/>
    <w:rsid w:val="00022CE2"/>
    <w:rsid w:val="00024A6B"/>
    <w:rsid w:val="00035091"/>
    <w:rsid w:val="00066E1F"/>
    <w:rsid w:val="00097884"/>
    <w:rsid w:val="000A7C67"/>
    <w:rsid w:val="000B6894"/>
    <w:rsid w:val="000C6D84"/>
    <w:rsid w:val="000F4015"/>
    <w:rsid w:val="00102CC3"/>
    <w:rsid w:val="0013693D"/>
    <w:rsid w:val="00136BDB"/>
    <w:rsid w:val="00186CE3"/>
    <w:rsid w:val="00195F02"/>
    <w:rsid w:val="0019620A"/>
    <w:rsid w:val="001D088B"/>
    <w:rsid w:val="001D5CA5"/>
    <w:rsid w:val="00211E04"/>
    <w:rsid w:val="00212EF8"/>
    <w:rsid w:val="0025288E"/>
    <w:rsid w:val="00270D85"/>
    <w:rsid w:val="002B5A27"/>
    <w:rsid w:val="002C5646"/>
    <w:rsid w:val="002C58FB"/>
    <w:rsid w:val="00315DE1"/>
    <w:rsid w:val="00326E8C"/>
    <w:rsid w:val="00354669"/>
    <w:rsid w:val="00362D40"/>
    <w:rsid w:val="00363B2F"/>
    <w:rsid w:val="003D74E3"/>
    <w:rsid w:val="003E31C3"/>
    <w:rsid w:val="003F2E82"/>
    <w:rsid w:val="003F72C9"/>
    <w:rsid w:val="0043059F"/>
    <w:rsid w:val="00473AC1"/>
    <w:rsid w:val="004A1182"/>
    <w:rsid w:val="004D714A"/>
    <w:rsid w:val="004E18D7"/>
    <w:rsid w:val="004F2296"/>
    <w:rsid w:val="00507263"/>
    <w:rsid w:val="00527434"/>
    <w:rsid w:val="0053301A"/>
    <w:rsid w:val="005712D7"/>
    <w:rsid w:val="00584323"/>
    <w:rsid w:val="005A125D"/>
    <w:rsid w:val="005E3B84"/>
    <w:rsid w:val="006138F8"/>
    <w:rsid w:val="00620C7E"/>
    <w:rsid w:val="006221B4"/>
    <w:rsid w:val="00631630"/>
    <w:rsid w:val="00636096"/>
    <w:rsid w:val="00646646"/>
    <w:rsid w:val="00657249"/>
    <w:rsid w:val="00664A35"/>
    <w:rsid w:val="00694C76"/>
    <w:rsid w:val="00694C79"/>
    <w:rsid w:val="00706862"/>
    <w:rsid w:val="00713DCB"/>
    <w:rsid w:val="00714F5B"/>
    <w:rsid w:val="00721D7E"/>
    <w:rsid w:val="00757110"/>
    <w:rsid w:val="00763A57"/>
    <w:rsid w:val="00763DB2"/>
    <w:rsid w:val="00763E4E"/>
    <w:rsid w:val="007D5566"/>
    <w:rsid w:val="007EE1C1"/>
    <w:rsid w:val="007F418B"/>
    <w:rsid w:val="008308A8"/>
    <w:rsid w:val="008927F1"/>
    <w:rsid w:val="0089501C"/>
    <w:rsid w:val="008D0DC7"/>
    <w:rsid w:val="008E663F"/>
    <w:rsid w:val="0090221F"/>
    <w:rsid w:val="009064AD"/>
    <w:rsid w:val="0091025B"/>
    <w:rsid w:val="00910601"/>
    <w:rsid w:val="009107DC"/>
    <w:rsid w:val="009223CC"/>
    <w:rsid w:val="00996DFC"/>
    <w:rsid w:val="009A19EF"/>
    <w:rsid w:val="009A3184"/>
    <w:rsid w:val="009C6F41"/>
    <w:rsid w:val="009D2038"/>
    <w:rsid w:val="009F5FAE"/>
    <w:rsid w:val="00A24EDB"/>
    <w:rsid w:val="00A255BA"/>
    <w:rsid w:val="00A414CB"/>
    <w:rsid w:val="00A70008"/>
    <w:rsid w:val="00A908B7"/>
    <w:rsid w:val="00A90D5F"/>
    <w:rsid w:val="00AA2AA1"/>
    <w:rsid w:val="00AA71A5"/>
    <w:rsid w:val="00AE7265"/>
    <w:rsid w:val="00AE7948"/>
    <w:rsid w:val="00B065CE"/>
    <w:rsid w:val="00B06E89"/>
    <w:rsid w:val="00B73583"/>
    <w:rsid w:val="00B868D1"/>
    <w:rsid w:val="00BC2B2E"/>
    <w:rsid w:val="00BD4032"/>
    <w:rsid w:val="00BE2994"/>
    <w:rsid w:val="00C16461"/>
    <w:rsid w:val="00C20E6F"/>
    <w:rsid w:val="00C275FC"/>
    <w:rsid w:val="00C62A2A"/>
    <w:rsid w:val="00C65262"/>
    <w:rsid w:val="00CC1870"/>
    <w:rsid w:val="00CC6C31"/>
    <w:rsid w:val="00D12692"/>
    <w:rsid w:val="00D15C75"/>
    <w:rsid w:val="00D317A3"/>
    <w:rsid w:val="00D3214B"/>
    <w:rsid w:val="00D332F9"/>
    <w:rsid w:val="00D3470C"/>
    <w:rsid w:val="00D428FB"/>
    <w:rsid w:val="00D5604E"/>
    <w:rsid w:val="00D65D94"/>
    <w:rsid w:val="00D740A0"/>
    <w:rsid w:val="00D93415"/>
    <w:rsid w:val="00DE0DFE"/>
    <w:rsid w:val="00DE321F"/>
    <w:rsid w:val="00DE60E9"/>
    <w:rsid w:val="00E02748"/>
    <w:rsid w:val="00E1304F"/>
    <w:rsid w:val="00E47977"/>
    <w:rsid w:val="00E64B24"/>
    <w:rsid w:val="00E73FAB"/>
    <w:rsid w:val="00E7728F"/>
    <w:rsid w:val="00E821D0"/>
    <w:rsid w:val="00E91230"/>
    <w:rsid w:val="00EE6FF6"/>
    <w:rsid w:val="00F00FB5"/>
    <w:rsid w:val="00F1576A"/>
    <w:rsid w:val="00F1578B"/>
    <w:rsid w:val="00F2111F"/>
    <w:rsid w:val="00F705E0"/>
    <w:rsid w:val="00F77324"/>
    <w:rsid w:val="00F979EC"/>
    <w:rsid w:val="00FD1A99"/>
    <w:rsid w:val="012F5C4F"/>
    <w:rsid w:val="01B7D728"/>
    <w:rsid w:val="033128D0"/>
    <w:rsid w:val="033E9B7E"/>
    <w:rsid w:val="048E5E5F"/>
    <w:rsid w:val="0521AD6E"/>
    <w:rsid w:val="05C1549C"/>
    <w:rsid w:val="05C2B0D8"/>
    <w:rsid w:val="06B0C5C8"/>
    <w:rsid w:val="079FC402"/>
    <w:rsid w:val="07EC77C6"/>
    <w:rsid w:val="080C9D35"/>
    <w:rsid w:val="083C5A74"/>
    <w:rsid w:val="0994DF24"/>
    <w:rsid w:val="0A1231E1"/>
    <w:rsid w:val="0A159729"/>
    <w:rsid w:val="0AD73343"/>
    <w:rsid w:val="0ADDD54C"/>
    <w:rsid w:val="0ADF7862"/>
    <w:rsid w:val="0B49555E"/>
    <w:rsid w:val="0B9D1F3B"/>
    <w:rsid w:val="0C1D82FB"/>
    <w:rsid w:val="0E9C272A"/>
    <w:rsid w:val="0F363EC9"/>
    <w:rsid w:val="0FB0532D"/>
    <w:rsid w:val="106BFED0"/>
    <w:rsid w:val="10D8FF14"/>
    <w:rsid w:val="112DC581"/>
    <w:rsid w:val="113A6513"/>
    <w:rsid w:val="119B7C97"/>
    <w:rsid w:val="11F94013"/>
    <w:rsid w:val="12508D43"/>
    <w:rsid w:val="12B6C6BB"/>
    <w:rsid w:val="12C19312"/>
    <w:rsid w:val="131511FE"/>
    <w:rsid w:val="13D693DB"/>
    <w:rsid w:val="13E65476"/>
    <w:rsid w:val="13FA6B56"/>
    <w:rsid w:val="148621D3"/>
    <w:rsid w:val="14D40296"/>
    <w:rsid w:val="14E83732"/>
    <w:rsid w:val="14F7CCE2"/>
    <w:rsid w:val="151C374E"/>
    <w:rsid w:val="15AFFCA3"/>
    <w:rsid w:val="161284D2"/>
    <w:rsid w:val="16AC5962"/>
    <w:rsid w:val="16D7D505"/>
    <w:rsid w:val="170B93A7"/>
    <w:rsid w:val="186B9322"/>
    <w:rsid w:val="19045125"/>
    <w:rsid w:val="193BF8C0"/>
    <w:rsid w:val="19A9C870"/>
    <w:rsid w:val="19F25039"/>
    <w:rsid w:val="1CA698BF"/>
    <w:rsid w:val="1D38AD57"/>
    <w:rsid w:val="1DB0BCA1"/>
    <w:rsid w:val="1E28BDEB"/>
    <w:rsid w:val="1EADC8B9"/>
    <w:rsid w:val="1F84F75F"/>
    <w:rsid w:val="213937B3"/>
    <w:rsid w:val="21C778E2"/>
    <w:rsid w:val="21ED3232"/>
    <w:rsid w:val="21F211BF"/>
    <w:rsid w:val="21F34A3B"/>
    <w:rsid w:val="2248F69B"/>
    <w:rsid w:val="23E5077B"/>
    <w:rsid w:val="2430663A"/>
    <w:rsid w:val="2464619A"/>
    <w:rsid w:val="24A44F9E"/>
    <w:rsid w:val="24F545B1"/>
    <w:rsid w:val="250A58E5"/>
    <w:rsid w:val="250FF8B1"/>
    <w:rsid w:val="2604AA5A"/>
    <w:rsid w:val="26318922"/>
    <w:rsid w:val="2738B78A"/>
    <w:rsid w:val="2778252B"/>
    <w:rsid w:val="27B03B18"/>
    <w:rsid w:val="27BA57C0"/>
    <w:rsid w:val="28232825"/>
    <w:rsid w:val="28A9DEA5"/>
    <w:rsid w:val="29348001"/>
    <w:rsid w:val="2A53E794"/>
    <w:rsid w:val="2B4041B2"/>
    <w:rsid w:val="2B4F5C5C"/>
    <w:rsid w:val="2B77B7F5"/>
    <w:rsid w:val="2B9503E9"/>
    <w:rsid w:val="2B984CCE"/>
    <w:rsid w:val="2C83872C"/>
    <w:rsid w:val="2C9AF125"/>
    <w:rsid w:val="2D04D172"/>
    <w:rsid w:val="2D353571"/>
    <w:rsid w:val="2F3B96D3"/>
    <w:rsid w:val="2F84804B"/>
    <w:rsid w:val="2FBD136C"/>
    <w:rsid w:val="308D6EE2"/>
    <w:rsid w:val="30B07C92"/>
    <w:rsid w:val="30F9C4E1"/>
    <w:rsid w:val="310170C9"/>
    <w:rsid w:val="31379B68"/>
    <w:rsid w:val="3188BF34"/>
    <w:rsid w:val="319960E2"/>
    <w:rsid w:val="33EFC3A5"/>
    <w:rsid w:val="353DA33F"/>
    <w:rsid w:val="35598468"/>
    <w:rsid w:val="3696D9F7"/>
    <w:rsid w:val="36A61207"/>
    <w:rsid w:val="36A9353A"/>
    <w:rsid w:val="3732BF9F"/>
    <w:rsid w:val="376F8A1F"/>
    <w:rsid w:val="37AFC4C6"/>
    <w:rsid w:val="385E83B3"/>
    <w:rsid w:val="3889BC86"/>
    <w:rsid w:val="38AE2F0C"/>
    <w:rsid w:val="3906D53E"/>
    <w:rsid w:val="3AD11AE9"/>
    <w:rsid w:val="3B75C90D"/>
    <w:rsid w:val="3B8720F3"/>
    <w:rsid w:val="3C2E7AA3"/>
    <w:rsid w:val="3CC068E5"/>
    <w:rsid w:val="3D94FADA"/>
    <w:rsid w:val="3DBA9C32"/>
    <w:rsid w:val="3DD60E1C"/>
    <w:rsid w:val="3E7801CB"/>
    <w:rsid w:val="3E83CE3E"/>
    <w:rsid w:val="3EAD9349"/>
    <w:rsid w:val="3F249208"/>
    <w:rsid w:val="3F94847C"/>
    <w:rsid w:val="3FD40EBA"/>
    <w:rsid w:val="41B0D940"/>
    <w:rsid w:val="41D508A1"/>
    <w:rsid w:val="430C9BF1"/>
    <w:rsid w:val="431972FA"/>
    <w:rsid w:val="43D315B4"/>
    <w:rsid w:val="45B9ECE2"/>
    <w:rsid w:val="466A811D"/>
    <w:rsid w:val="468EFFBD"/>
    <w:rsid w:val="46D030D1"/>
    <w:rsid w:val="4704E4E0"/>
    <w:rsid w:val="4797D48A"/>
    <w:rsid w:val="47B0E099"/>
    <w:rsid w:val="47EA3898"/>
    <w:rsid w:val="481E8215"/>
    <w:rsid w:val="4843386B"/>
    <w:rsid w:val="486CA036"/>
    <w:rsid w:val="48AB6A04"/>
    <w:rsid w:val="48B6EE37"/>
    <w:rsid w:val="49733B1D"/>
    <w:rsid w:val="49FAD59F"/>
    <w:rsid w:val="4A9C33A1"/>
    <w:rsid w:val="4BD5D008"/>
    <w:rsid w:val="4CD986CA"/>
    <w:rsid w:val="4F9EA43A"/>
    <w:rsid w:val="4FBBB978"/>
    <w:rsid w:val="502B85F5"/>
    <w:rsid w:val="50F64046"/>
    <w:rsid w:val="517926EE"/>
    <w:rsid w:val="51DE0324"/>
    <w:rsid w:val="5286889B"/>
    <w:rsid w:val="52B10A7B"/>
    <w:rsid w:val="53751CEF"/>
    <w:rsid w:val="53773708"/>
    <w:rsid w:val="53D34E2C"/>
    <w:rsid w:val="547459B0"/>
    <w:rsid w:val="551FBA8C"/>
    <w:rsid w:val="553D4E35"/>
    <w:rsid w:val="55A99E75"/>
    <w:rsid w:val="563F511F"/>
    <w:rsid w:val="5647793D"/>
    <w:rsid w:val="56B411CF"/>
    <w:rsid w:val="58123CAE"/>
    <w:rsid w:val="5822CCAB"/>
    <w:rsid w:val="58778407"/>
    <w:rsid w:val="58A5C554"/>
    <w:rsid w:val="59A07055"/>
    <w:rsid w:val="5A787330"/>
    <w:rsid w:val="5B534F2A"/>
    <w:rsid w:val="5BE54B33"/>
    <w:rsid w:val="5BFAE1D9"/>
    <w:rsid w:val="5E1081D1"/>
    <w:rsid w:val="5EAA22AD"/>
    <w:rsid w:val="5F9FB63B"/>
    <w:rsid w:val="5FE39F60"/>
    <w:rsid w:val="5FE69191"/>
    <w:rsid w:val="602E42CC"/>
    <w:rsid w:val="60353255"/>
    <w:rsid w:val="6041C727"/>
    <w:rsid w:val="60EC9264"/>
    <w:rsid w:val="61045CA4"/>
    <w:rsid w:val="6182AC51"/>
    <w:rsid w:val="618D986B"/>
    <w:rsid w:val="61B13A5D"/>
    <w:rsid w:val="621495F1"/>
    <w:rsid w:val="6246428F"/>
    <w:rsid w:val="629A6395"/>
    <w:rsid w:val="629FCE2B"/>
    <w:rsid w:val="6333E4C6"/>
    <w:rsid w:val="634CCD37"/>
    <w:rsid w:val="6378B0AD"/>
    <w:rsid w:val="641D1111"/>
    <w:rsid w:val="6541A88B"/>
    <w:rsid w:val="65744712"/>
    <w:rsid w:val="659C0664"/>
    <w:rsid w:val="65D356E9"/>
    <w:rsid w:val="66124CBB"/>
    <w:rsid w:val="674CDC32"/>
    <w:rsid w:val="67D1EA46"/>
    <w:rsid w:val="68C5243D"/>
    <w:rsid w:val="68D7AA2F"/>
    <w:rsid w:val="69623BFB"/>
    <w:rsid w:val="69DB32EE"/>
    <w:rsid w:val="6A239FB5"/>
    <w:rsid w:val="6A6A546B"/>
    <w:rsid w:val="6AED57F8"/>
    <w:rsid w:val="6B71CBCE"/>
    <w:rsid w:val="6C2F5482"/>
    <w:rsid w:val="6D22302F"/>
    <w:rsid w:val="6DE155CD"/>
    <w:rsid w:val="6F525092"/>
    <w:rsid w:val="709BF133"/>
    <w:rsid w:val="70C8CBAC"/>
    <w:rsid w:val="70CCB16A"/>
    <w:rsid w:val="70D8FA49"/>
    <w:rsid w:val="70DA8424"/>
    <w:rsid w:val="7153BA44"/>
    <w:rsid w:val="716A874C"/>
    <w:rsid w:val="71C9D9B1"/>
    <w:rsid w:val="72291C38"/>
    <w:rsid w:val="72E412F5"/>
    <w:rsid w:val="7398D3AF"/>
    <w:rsid w:val="749B1B1C"/>
    <w:rsid w:val="74D2B6CF"/>
    <w:rsid w:val="75718263"/>
    <w:rsid w:val="7630906E"/>
    <w:rsid w:val="7686D3D2"/>
    <w:rsid w:val="76CABEE6"/>
    <w:rsid w:val="76CCFEA5"/>
    <w:rsid w:val="774E55F2"/>
    <w:rsid w:val="7941B280"/>
    <w:rsid w:val="79B88DA3"/>
    <w:rsid w:val="7AB6834D"/>
    <w:rsid w:val="7C9A7562"/>
    <w:rsid w:val="7D594486"/>
    <w:rsid w:val="7DBEAFE0"/>
    <w:rsid w:val="7DDC1AB4"/>
    <w:rsid w:val="7DED5487"/>
    <w:rsid w:val="7E05708F"/>
    <w:rsid w:val="7E70BA9E"/>
    <w:rsid w:val="7F35E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C06E"/>
  <w15:chartTrackingRefBased/>
  <w15:docId w15:val="{B0383016-63C8-42EA-9DB3-65430E1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C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32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2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2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2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7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7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15DE1"/>
  </w:style>
  <w:style w:type="paragraph" w:styleId="Footer">
    <w:name w:val="footer"/>
    <w:basedOn w:val="Normal"/>
    <w:link w:val="Foot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lt-LT"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15DE1"/>
  </w:style>
  <w:style w:type="paragraph" w:styleId="Revision">
    <w:name w:val="Revision"/>
    <w:hidden/>
    <w:uiPriority w:val="99"/>
    <w:semiHidden/>
    <w:rsid w:val="006138F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3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8F8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8F8"/>
    <w:rPr>
      <w:rFonts w:ascii="Times New Roman" w:eastAsia="SimSun" w:hAnsi="Times New Roman" w:cs="Mangal"/>
      <w:kern w:val="1"/>
      <w:sz w:val="20"/>
      <w:szCs w:val="18"/>
      <w:lang w:val="en-US" w:eastAsia="hi-IN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8F8"/>
    <w:rPr>
      <w:rFonts w:ascii="Times New Roman" w:eastAsia="SimSun" w:hAnsi="Times New Roman" w:cs="Mangal"/>
      <w:b/>
      <w:bCs/>
      <w:kern w:val="1"/>
      <w:sz w:val="20"/>
      <w:szCs w:val="18"/>
      <w:lang w:val="en-US" w:eastAsia="hi-I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6316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6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pf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EACC9-7D96-40E9-8A61-29CC881C2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2996</Words>
  <Characters>1708</Characters>
  <Application>Microsoft Office Word</Application>
  <DocSecurity>0</DocSecurity>
  <Lines>14</Lines>
  <Paragraphs>9</Paragraphs>
  <ScaleCrop>false</ScaleCrop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Severa Augusta Lukošaitytė</dc:creator>
  <cp:keywords/>
  <dc:description/>
  <cp:lastModifiedBy>Severa Augusta Lukošaitytė</cp:lastModifiedBy>
  <cp:revision>6</cp:revision>
  <dcterms:created xsi:type="dcterms:W3CDTF">2025-10-06T15:00:00Z</dcterms:created>
  <dcterms:modified xsi:type="dcterms:W3CDTF">2025-10-07T11:53:00Z</dcterms:modified>
</cp:coreProperties>
</file>