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FCB0" w14:textId="77777777" w:rsidR="00AF299C" w:rsidRDefault="00AF299C" w:rsidP="00AF299C">
      <w:pPr>
        <w:spacing w:after="0" w:line="240" w:lineRule="auto"/>
        <w:ind w:left="720" w:hanging="720"/>
        <w:jc w:val="both"/>
        <w:rPr>
          <w:rFonts w:ascii="Arial" w:eastAsia="Calibri" w:hAnsi="Arial" w:cs="Arial"/>
          <w:color w:val="00455E"/>
          <w:sz w:val="16"/>
          <w:szCs w:val="16"/>
          <w:lang w:val="lt-LT"/>
        </w:rPr>
      </w:pPr>
    </w:p>
    <w:p w14:paraId="68ABC0EB" w14:textId="77777777" w:rsidR="00AF299C" w:rsidRDefault="00AF299C" w:rsidP="00AF299C">
      <w:pPr>
        <w:spacing w:after="0" w:line="240" w:lineRule="auto"/>
        <w:ind w:left="720" w:hanging="720"/>
        <w:jc w:val="both"/>
        <w:rPr>
          <w:rFonts w:ascii="Arial" w:eastAsia="Calibri" w:hAnsi="Arial" w:cs="Arial"/>
          <w:color w:val="00455E"/>
          <w:sz w:val="16"/>
          <w:szCs w:val="16"/>
          <w:lang w:val="lt-LT"/>
        </w:rPr>
      </w:pPr>
    </w:p>
    <w:p w14:paraId="0A447461" w14:textId="4756D164" w:rsidR="00AF299C" w:rsidRPr="000026AB" w:rsidRDefault="00AF299C" w:rsidP="00AF299C">
      <w:pPr>
        <w:spacing w:after="0" w:line="240" w:lineRule="auto"/>
        <w:ind w:left="720" w:hanging="720"/>
        <w:jc w:val="both"/>
        <w:rPr>
          <w:rFonts w:ascii="Arial" w:eastAsia="Calibri" w:hAnsi="Arial" w:cs="Arial"/>
          <w:color w:val="00455E"/>
          <w:sz w:val="16"/>
          <w:szCs w:val="16"/>
          <w:lang w:val="lt-LT"/>
        </w:rPr>
      </w:pPr>
      <w:r w:rsidRPr="000026AB">
        <w:rPr>
          <w:rFonts w:ascii="Arial" w:eastAsia="Calibri" w:hAnsi="Arial" w:cs="Arial"/>
          <w:color w:val="00455E"/>
          <w:sz w:val="16"/>
          <w:szCs w:val="16"/>
          <w:lang w:val="lt-LT"/>
        </w:rPr>
        <w:t>Pranešimas žiniasklaidai</w:t>
      </w:r>
    </w:p>
    <w:p w14:paraId="6C87AC4D" w14:textId="0F813D5C" w:rsidR="00AF299C" w:rsidRDefault="00AF299C" w:rsidP="00AF299C">
      <w:pPr>
        <w:spacing w:after="0" w:line="240" w:lineRule="auto"/>
        <w:ind w:left="720" w:hanging="720"/>
        <w:jc w:val="both"/>
        <w:rPr>
          <w:rFonts w:ascii="Arial" w:eastAsia="Calibri" w:hAnsi="Arial" w:cs="Arial"/>
          <w:color w:val="00455E"/>
          <w:sz w:val="16"/>
          <w:szCs w:val="16"/>
        </w:rPr>
      </w:pPr>
      <w:r w:rsidRPr="00762472">
        <w:rPr>
          <w:rFonts w:ascii="Arial" w:eastAsia="Calibri" w:hAnsi="Arial" w:cs="Arial"/>
          <w:color w:val="00455E"/>
          <w:sz w:val="16"/>
          <w:szCs w:val="16"/>
        </w:rPr>
        <w:t>2026-01-</w:t>
      </w:r>
      <w:r>
        <w:rPr>
          <w:rFonts w:ascii="Arial" w:eastAsia="Calibri" w:hAnsi="Arial" w:cs="Arial"/>
          <w:color w:val="00455E"/>
          <w:sz w:val="16"/>
          <w:szCs w:val="16"/>
        </w:rPr>
        <w:t>27</w:t>
      </w:r>
    </w:p>
    <w:p w14:paraId="6F66E47B" w14:textId="77777777" w:rsidR="00AF299C" w:rsidRDefault="00AF299C" w:rsidP="00AF299C">
      <w:pPr>
        <w:spacing w:after="0" w:line="240" w:lineRule="auto"/>
        <w:ind w:left="720" w:hanging="720"/>
        <w:jc w:val="both"/>
        <w:rPr>
          <w:rFonts w:ascii="Arial" w:eastAsia="Calibri" w:hAnsi="Arial" w:cs="Arial"/>
          <w:color w:val="00455E"/>
          <w:sz w:val="16"/>
          <w:szCs w:val="16"/>
        </w:rPr>
      </w:pPr>
    </w:p>
    <w:p w14:paraId="25FA3F08" w14:textId="77777777" w:rsidR="00AF299C" w:rsidRPr="00AF299C" w:rsidRDefault="00AF299C" w:rsidP="00AF299C">
      <w:pPr>
        <w:spacing w:after="0" w:line="240" w:lineRule="auto"/>
        <w:ind w:left="720" w:hanging="720"/>
        <w:jc w:val="both"/>
        <w:rPr>
          <w:rFonts w:ascii="Arial" w:eastAsia="Calibri" w:hAnsi="Arial" w:cs="Arial"/>
          <w:color w:val="00455E"/>
          <w:sz w:val="16"/>
          <w:szCs w:val="16"/>
        </w:rPr>
      </w:pPr>
    </w:p>
    <w:p w14:paraId="7DF1609E" w14:textId="301482D0" w:rsidR="00AF299C" w:rsidRPr="00AF299C" w:rsidRDefault="1BFBFCD7" w:rsidP="00AF299C">
      <w:pPr>
        <w:rPr>
          <w:rFonts w:ascii="Arial" w:hAnsi="Arial" w:cs="Arial"/>
          <w:b/>
          <w:bCs/>
          <w:color w:val="00455E"/>
          <w:sz w:val="22"/>
          <w:szCs w:val="22"/>
          <w:lang w:val="lt-LT" w:eastAsia="en-GB"/>
        </w:rPr>
      </w:pPr>
      <w:r w:rsidRPr="00AF299C">
        <w:rPr>
          <w:rFonts w:ascii="Arial" w:hAnsi="Arial" w:cs="Arial"/>
          <w:b/>
          <w:bCs/>
          <w:color w:val="00455E"/>
          <w:sz w:val="22"/>
          <w:szCs w:val="22"/>
          <w:lang w:val="lt-LT" w:eastAsia="en-GB"/>
        </w:rPr>
        <w:t>I</w:t>
      </w:r>
      <w:r w:rsidR="30830C06" w:rsidRPr="00AF299C">
        <w:rPr>
          <w:rFonts w:ascii="Arial" w:hAnsi="Arial" w:cs="Arial"/>
          <w:b/>
          <w:bCs/>
          <w:color w:val="00455E"/>
          <w:sz w:val="22"/>
          <w:szCs w:val="22"/>
          <w:lang w:val="lt-LT" w:eastAsia="en-GB"/>
        </w:rPr>
        <w:t>ndividualios garantijos: kada jos reikalingos ir kaip suprasti, ar jūsų verslui jos tinka?</w:t>
      </w:r>
    </w:p>
    <w:p w14:paraId="446F7705" w14:textId="6123C468" w:rsidR="005D78D9" w:rsidRPr="00AF299C" w:rsidRDefault="62F42ECE"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 xml:space="preserve">Lietuvos smulkusis ir vidutinis verslas aktyviai plečiasi, tačiau augimą dažnai riboja finansavimo prieinamumas. </w:t>
      </w:r>
      <w:r w:rsidR="71C67766" w:rsidRPr="00AF299C">
        <w:rPr>
          <w:rFonts w:ascii="Arial" w:hAnsi="Arial" w:cs="Arial"/>
          <w:color w:val="00455E"/>
          <w:sz w:val="22"/>
          <w:szCs w:val="22"/>
          <w:lang w:val="lt-LT" w:eastAsia="en-GB"/>
        </w:rPr>
        <w:t>Viena iš išeičių</w:t>
      </w:r>
      <w:r w:rsidR="5453A1F0" w:rsidRPr="00AF299C">
        <w:rPr>
          <w:rFonts w:ascii="Arial" w:hAnsi="Arial" w:cs="Arial"/>
          <w:color w:val="00455E"/>
          <w:sz w:val="22"/>
          <w:szCs w:val="22"/>
          <w:lang w:val="lt-LT" w:eastAsia="en-GB"/>
        </w:rPr>
        <w:t xml:space="preserve"> t</w:t>
      </w:r>
      <w:r w:rsidR="71C67766" w:rsidRPr="00AF299C">
        <w:rPr>
          <w:rFonts w:ascii="Arial" w:hAnsi="Arial" w:cs="Arial"/>
          <w:color w:val="00455E"/>
          <w:sz w:val="22"/>
          <w:szCs w:val="22"/>
          <w:lang w:val="lt-LT" w:eastAsia="en-GB"/>
        </w:rPr>
        <w:t>okiais atvejais</w:t>
      </w:r>
      <w:r w:rsidR="5453A1F0" w:rsidRPr="00AF299C">
        <w:rPr>
          <w:rFonts w:ascii="Arial" w:hAnsi="Arial" w:cs="Arial"/>
          <w:color w:val="00455E"/>
          <w:sz w:val="22"/>
          <w:szCs w:val="22"/>
          <w:lang w:val="lt-LT" w:eastAsia="en-GB"/>
        </w:rPr>
        <w:t xml:space="preserve"> –</w:t>
      </w:r>
      <w:r w:rsidR="71C67766" w:rsidRPr="00AF299C">
        <w:rPr>
          <w:rFonts w:ascii="Arial" w:hAnsi="Arial" w:cs="Arial"/>
          <w:color w:val="00455E"/>
          <w:sz w:val="22"/>
          <w:szCs w:val="22"/>
          <w:lang w:val="lt-LT" w:eastAsia="en-GB"/>
        </w:rPr>
        <w:t xml:space="preserve"> individualios garantijos,</w:t>
      </w:r>
      <w:r w:rsidR="5453A1F0" w:rsidRPr="00AF299C">
        <w:rPr>
          <w:rFonts w:ascii="Arial" w:hAnsi="Arial" w:cs="Arial"/>
          <w:color w:val="00455E"/>
          <w:sz w:val="22"/>
          <w:szCs w:val="22"/>
          <w:lang w:val="lt-LT" w:eastAsia="en-GB"/>
        </w:rPr>
        <w:t xml:space="preserve"> </w:t>
      </w:r>
      <w:r w:rsidR="60F39C7C" w:rsidRPr="00AF299C">
        <w:rPr>
          <w:rFonts w:ascii="Arial" w:hAnsi="Arial" w:cs="Arial"/>
          <w:color w:val="00455E"/>
          <w:sz w:val="22"/>
          <w:szCs w:val="22"/>
          <w:lang w:val="lt-LT" w:eastAsia="en-GB"/>
        </w:rPr>
        <w:t>leidžiančios padengti</w:t>
      </w:r>
      <w:r w:rsidR="00AF299C" w:rsidRPr="00AF299C">
        <w:rPr>
          <w:rFonts w:ascii="Arial" w:hAnsi="Arial" w:cs="Arial"/>
          <w:color w:val="00455E"/>
          <w:sz w:val="22"/>
          <w:szCs w:val="22"/>
          <w:lang w:val="lt-LT" w:eastAsia="en-GB"/>
        </w:rPr>
        <w:t xml:space="preserve"> iki</w:t>
      </w:r>
      <w:r w:rsidR="60F39C7C" w:rsidRPr="00AF299C">
        <w:rPr>
          <w:rFonts w:ascii="Arial" w:hAnsi="Arial" w:cs="Arial"/>
          <w:color w:val="00455E"/>
          <w:sz w:val="22"/>
          <w:szCs w:val="22"/>
          <w:lang w:val="lt-LT" w:eastAsia="en-GB"/>
        </w:rPr>
        <w:t xml:space="preserve"> 80 proc. paskolos sumos. </w:t>
      </w:r>
      <w:r w:rsidR="3A5FE615" w:rsidRPr="00AF299C">
        <w:rPr>
          <w:rFonts w:ascii="Arial" w:hAnsi="Arial" w:cs="Arial"/>
          <w:color w:val="00455E"/>
          <w:sz w:val="22"/>
          <w:szCs w:val="22"/>
          <w:lang w:val="lt-LT" w:eastAsia="en-GB"/>
        </w:rPr>
        <w:t>Ekspertai atskleidė, kokiems verslams ši priemonė naudingiausia ir kokiomis aplinkybėmis ji gali suteikti didžiausią vertę.</w:t>
      </w:r>
    </w:p>
    <w:p w14:paraId="4D9052CA" w14:textId="77777777" w:rsidR="00270316" w:rsidRPr="00AF299C" w:rsidRDefault="1C9C416B" w:rsidP="00AF299C">
      <w:pPr>
        <w:rPr>
          <w:rFonts w:ascii="Arial" w:hAnsi="Arial" w:cs="Arial"/>
          <w:b/>
          <w:bCs/>
          <w:color w:val="00455E"/>
          <w:sz w:val="22"/>
          <w:szCs w:val="22"/>
          <w:lang w:val="lt-LT" w:eastAsia="en-GB"/>
        </w:rPr>
      </w:pPr>
      <w:r w:rsidRPr="00AF299C">
        <w:rPr>
          <w:rFonts w:ascii="Arial" w:hAnsi="Arial" w:cs="Arial"/>
          <w:b/>
          <w:bCs/>
          <w:color w:val="00455E"/>
          <w:sz w:val="22"/>
          <w:szCs w:val="22"/>
          <w:lang w:val="lt-LT" w:eastAsia="en-GB"/>
        </w:rPr>
        <w:t>Individualių garantijų poreikis auga kartu su verslų plėtros ambicijomis</w:t>
      </w:r>
    </w:p>
    <w:p w14:paraId="1469FCB6" w14:textId="7A46921C" w:rsidR="00AC0394" w:rsidRPr="00AF299C" w:rsidRDefault="0735EDF1"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Dalis įmonių dėl užstato trūkumo, trumpos veiklos istorijos ar didesnės projekto rizikos ne visada gali gauti kreditą finansų įstaigoje vien pagal standartinį  vertinimą, todėl tokiais atvejais svarbiu instrumentu tampa individualios garantijos</w:t>
      </w:r>
      <w:r w:rsidR="11D494C4" w:rsidRPr="00AF299C">
        <w:rPr>
          <w:rFonts w:ascii="Arial" w:hAnsi="Arial" w:cs="Arial"/>
          <w:color w:val="00455E"/>
          <w:sz w:val="22"/>
          <w:szCs w:val="22"/>
          <w:lang w:val="lt-LT" w:eastAsia="en-GB"/>
        </w:rPr>
        <w:t xml:space="preserve">, kurios </w:t>
      </w:r>
      <w:r w:rsidRPr="00AF299C">
        <w:rPr>
          <w:rFonts w:ascii="Arial" w:hAnsi="Arial" w:cs="Arial"/>
          <w:color w:val="00455E"/>
          <w:sz w:val="22"/>
          <w:szCs w:val="22"/>
          <w:lang w:val="lt-LT" w:eastAsia="en-GB"/>
        </w:rPr>
        <w:t xml:space="preserve">mažina finansuotojo riziką ir sudaro sąlygas įgyvendinti ekonomiškai pagrįstus projektus. </w:t>
      </w:r>
    </w:p>
    <w:p w14:paraId="59591CCF" w14:textId="72CBF33F" w:rsidR="00801C35" w:rsidRPr="00AF299C" w:rsidRDefault="324E28B5"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Kaip pastebi nacionalinio plėtros bank</w:t>
      </w:r>
      <w:r w:rsidRPr="00AF299C">
        <w:rPr>
          <w:rFonts w:ascii="Arial" w:eastAsiaTheme="minorEastAsia" w:hAnsi="Arial" w:cs="Arial"/>
          <w:color w:val="00455E"/>
          <w:sz w:val="22"/>
          <w:szCs w:val="22"/>
          <w:lang w:val="lt-LT" w:eastAsia="en-GB"/>
        </w:rPr>
        <w:t xml:space="preserve">o </w:t>
      </w:r>
      <w:r w:rsidR="079D8341" w:rsidRPr="00AF299C">
        <w:rPr>
          <w:rFonts w:ascii="Arial" w:eastAsiaTheme="minorEastAsia" w:hAnsi="Arial" w:cs="Arial"/>
          <w:color w:val="00455E"/>
          <w:sz w:val="22"/>
          <w:szCs w:val="22"/>
          <w:lang w:val="lt-LT" w:eastAsia="en-GB"/>
        </w:rPr>
        <w:t>Smulkių ir vidutinių verslo klientų departamento direktorė Jolita Rėkutė,</w:t>
      </w:r>
      <w:r w:rsidRPr="00AF299C">
        <w:rPr>
          <w:rFonts w:ascii="Arial" w:eastAsiaTheme="minorEastAsia" w:hAnsi="Arial" w:cs="Arial"/>
          <w:color w:val="00455E"/>
          <w:sz w:val="22"/>
          <w:szCs w:val="22"/>
          <w:lang w:val="lt-LT" w:eastAsia="en-GB"/>
        </w:rPr>
        <w:t xml:space="preserve"> ši prie</w:t>
      </w:r>
      <w:r w:rsidRPr="00AF299C">
        <w:rPr>
          <w:rFonts w:ascii="Arial" w:hAnsi="Arial" w:cs="Arial"/>
          <w:color w:val="00455E"/>
          <w:sz w:val="22"/>
          <w:szCs w:val="22"/>
          <w:lang w:val="lt-LT" w:eastAsia="en-GB"/>
        </w:rPr>
        <w:t>monė ypač svarbi įmonėms, kurių plėtra vyksta sparčiau nei didėja jų turto bazė bei užtikrinant apyvartinių lėšų finansavimą.</w:t>
      </w:r>
    </w:p>
    <w:p w14:paraId="4807405D" w14:textId="40143F51" w:rsidR="006632EB" w:rsidRPr="00AF299C" w:rsidRDefault="2A3FC5F4" w:rsidP="00AF299C">
      <w:pPr>
        <w:rPr>
          <w:rFonts w:ascii="Arial" w:hAnsi="Arial" w:cs="Arial"/>
          <w:color w:val="00455E"/>
          <w:sz w:val="22"/>
          <w:szCs w:val="22"/>
          <w:lang w:val="lt-LT" w:eastAsia="en-GB"/>
        </w:rPr>
      </w:pPr>
      <w:r w:rsidRPr="00AF299C">
        <w:rPr>
          <w:rFonts w:ascii="Arial" w:hAnsi="Arial" w:cs="Arial"/>
          <w:color w:val="00455E"/>
          <w:sz w:val="22"/>
          <w:szCs w:val="22"/>
          <w:lang w:val="lt-LT"/>
        </w:rPr>
        <w:t>„Tokiose situacijose įmonės dažnai prašo pirmosios reikšmingos paskolos ar lizingo, finansuoja naują įrangą, gamybos plėtrą, investuoja į technologijas ar ilgesnio atsipirkimo projektus. Bankams šie projektai gali atrodyti rizikingesni, tačiau ekonomiškai gyvybingi – būtent čia individuali garantija leidžia sumažinti riziką ir užtikrinti finansavimo prieinamumą</w:t>
      </w:r>
      <w:r w:rsidRPr="00AF299C">
        <w:rPr>
          <w:rFonts w:ascii="Arial" w:hAnsi="Arial" w:cs="Arial"/>
          <w:color w:val="00455E"/>
          <w:sz w:val="22"/>
          <w:szCs w:val="22"/>
          <w:lang w:val="lt-LT" w:eastAsia="en-GB"/>
        </w:rPr>
        <w:t xml:space="preserve">“, – teigia </w:t>
      </w:r>
      <w:r w:rsidR="0F69DF75" w:rsidRPr="00AF299C">
        <w:rPr>
          <w:rFonts w:ascii="Arial" w:eastAsiaTheme="minorEastAsia" w:hAnsi="Arial" w:cs="Arial"/>
          <w:color w:val="00455E"/>
          <w:sz w:val="22"/>
          <w:szCs w:val="22"/>
          <w:lang w:val="lt-LT" w:eastAsia="en-GB"/>
        </w:rPr>
        <w:t>J. Rėkutė</w:t>
      </w:r>
      <w:r w:rsidRPr="00AF299C">
        <w:rPr>
          <w:rFonts w:ascii="Arial" w:hAnsi="Arial" w:cs="Arial"/>
          <w:color w:val="00455E"/>
          <w:sz w:val="22"/>
          <w:szCs w:val="22"/>
          <w:lang w:val="lt-LT" w:eastAsia="en-GB"/>
        </w:rPr>
        <w:t>.</w:t>
      </w:r>
    </w:p>
    <w:p w14:paraId="04B4D908" w14:textId="5C243A6F" w:rsidR="00270316" w:rsidRPr="00AF299C" w:rsidRDefault="30830C06" w:rsidP="00AF299C">
      <w:pPr>
        <w:rPr>
          <w:rFonts w:ascii="Arial" w:hAnsi="Arial" w:cs="Arial"/>
          <w:color w:val="00455E"/>
          <w:sz w:val="22"/>
          <w:szCs w:val="22"/>
          <w:lang w:val="lt-LT"/>
        </w:rPr>
      </w:pPr>
      <w:r w:rsidRPr="00AF299C">
        <w:rPr>
          <w:rFonts w:ascii="Arial" w:hAnsi="Arial" w:cs="Arial"/>
          <w:color w:val="00455E"/>
          <w:sz w:val="22"/>
          <w:szCs w:val="22"/>
          <w:lang w:val="lt-LT"/>
        </w:rPr>
        <w:t>Anot jos,</w:t>
      </w:r>
      <w:r w:rsidRPr="00AF299C">
        <w:rPr>
          <w:rFonts w:ascii="Arial" w:hAnsi="Arial" w:cs="Arial"/>
          <w:color w:val="00455E"/>
          <w:sz w:val="22"/>
          <w:szCs w:val="22"/>
          <w:lang w:val="lt-LT" w:eastAsia="en-GB"/>
        </w:rPr>
        <w:t xml:space="preserve"> š</w:t>
      </w:r>
      <w:r w:rsidR="1C9C416B" w:rsidRPr="00AF299C">
        <w:rPr>
          <w:rFonts w:ascii="Arial" w:hAnsi="Arial" w:cs="Arial"/>
          <w:color w:val="00455E"/>
          <w:sz w:val="22"/>
          <w:szCs w:val="22"/>
          <w:lang w:val="lt-LT" w:eastAsia="en-GB"/>
        </w:rPr>
        <w:t xml:space="preserve">ios garantijos leidžia finansų įstaigoms padengti dalį rizikos tuo atveju, jei įmonė neįvykdytų prisiimtų įsipareigojimų, todėl sudaromos palankesnės sąlygos suteikti kreditą </w:t>
      </w:r>
      <w:r w:rsidR="1C9C416B" w:rsidRPr="00AF299C">
        <w:rPr>
          <w:rFonts w:ascii="Arial" w:eastAsiaTheme="minorEastAsia" w:hAnsi="Arial" w:cs="Arial"/>
          <w:color w:val="00455E"/>
          <w:sz w:val="22"/>
          <w:szCs w:val="22"/>
          <w:lang w:val="lt-LT"/>
        </w:rPr>
        <w:t xml:space="preserve">ekonomiškai pagrįstiems, bet kapitalui imliems projektams. </w:t>
      </w:r>
    </w:p>
    <w:p w14:paraId="6A348821" w14:textId="70952D46" w:rsidR="00887A17" w:rsidRPr="00AF299C" w:rsidRDefault="235FF003" w:rsidP="00AF299C">
      <w:pPr>
        <w:rPr>
          <w:rFonts w:ascii="Arial" w:hAnsi="Arial" w:cs="Arial"/>
          <w:color w:val="00455E"/>
          <w:sz w:val="22"/>
          <w:szCs w:val="22"/>
          <w:lang w:val="lt-LT"/>
        </w:rPr>
      </w:pPr>
      <w:r w:rsidRPr="00AF299C">
        <w:rPr>
          <w:rFonts w:ascii="Arial" w:eastAsiaTheme="minorEastAsia" w:hAnsi="Arial" w:cs="Arial"/>
          <w:color w:val="00455E"/>
          <w:sz w:val="22"/>
          <w:szCs w:val="22"/>
          <w:lang w:val="lt-LT"/>
        </w:rPr>
        <w:t xml:space="preserve">ILTE duomenys rodo, kad individualių garantijų vaidmuo verslų finansavime nuosekliai stiprėja. 2025 m. </w:t>
      </w:r>
      <w:r w:rsidR="3CB9A5CA" w:rsidRPr="00AF299C">
        <w:rPr>
          <w:rFonts w:ascii="Arial" w:eastAsiaTheme="minorEastAsia" w:hAnsi="Arial" w:cs="Arial"/>
          <w:color w:val="00455E"/>
          <w:sz w:val="22"/>
          <w:szCs w:val="22"/>
          <w:lang w:val="lt-LT"/>
        </w:rPr>
        <w:t xml:space="preserve"> </w:t>
      </w:r>
      <w:r w:rsidRPr="00AF299C">
        <w:rPr>
          <w:rFonts w:ascii="Arial" w:eastAsiaTheme="minorEastAsia" w:hAnsi="Arial" w:cs="Arial"/>
          <w:color w:val="00455E"/>
          <w:sz w:val="22"/>
          <w:szCs w:val="22"/>
          <w:lang w:val="lt-LT"/>
        </w:rPr>
        <w:t xml:space="preserve">pasirašytos </w:t>
      </w:r>
      <w:r w:rsidR="2463C5EB" w:rsidRPr="00AF299C">
        <w:rPr>
          <w:rFonts w:ascii="Arial" w:eastAsiaTheme="minorEastAsia" w:hAnsi="Arial" w:cs="Arial"/>
          <w:color w:val="00455E"/>
          <w:sz w:val="22"/>
          <w:szCs w:val="22"/>
          <w:lang w:val="lt-LT"/>
        </w:rPr>
        <w:t>58</w:t>
      </w:r>
      <w:r w:rsidRPr="00AF299C">
        <w:rPr>
          <w:rFonts w:ascii="Arial" w:eastAsiaTheme="minorEastAsia" w:hAnsi="Arial" w:cs="Arial"/>
          <w:color w:val="00455E"/>
          <w:sz w:val="22"/>
          <w:szCs w:val="22"/>
          <w:lang w:val="lt-LT"/>
        </w:rPr>
        <w:t xml:space="preserve"> individualių garantijų sutartys, kurių vertė siekia 2</w:t>
      </w:r>
      <w:r w:rsidR="2D72122B" w:rsidRPr="00AF299C">
        <w:rPr>
          <w:rFonts w:ascii="Arial" w:eastAsiaTheme="minorEastAsia" w:hAnsi="Arial" w:cs="Arial"/>
          <w:color w:val="00455E"/>
          <w:sz w:val="22"/>
          <w:szCs w:val="22"/>
          <w:lang w:val="lt-LT"/>
        </w:rPr>
        <w:t>5</w:t>
      </w:r>
      <w:r w:rsidRPr="00AF299C">
        <w:rPr>
          <w:rFonts w:ascii="Arial" w:eastAsiaTheme="minorEastAsia" w:hAnsi="Arial" w:cs="Arial"/>
          <w:color w:val="00455E"/>
          <w:sz w:val="22"/>
          <w:szCs w:val="22"/>
          <w:lang w:val="lt-LT"/>
        </w:rPr>
        <w:t>,5 mln. eurų, o pritrauktų lėšų suma – 2</w:t>
      </w:r>
      <w:r w:rsidR="2ECD1A86" w:rsidRPr="00AF299C">
        <w:rPr>
          <w:rFonts w:ascii="Arial" w:eastAsiaTheme="minorEastAsia" w:hAnsi="Arial" w:cs="Arial"/>
          <w:color w:val="00455E"/>
          <w:sz w:val="22"/>
          <w:szCs w:val="22"/>
          <w:lang w:val="lt-LT"/>
        </w:rPr>
        <w:t>6</w:t>
      </w:r>
      <w:r w:rsidRPr="00AF299C">
        <w:rPr>
          <w:rFonts w:ascii="Arial" w:eastAsiaTheme="minorEastAsia" w:hAnsi="Arial" w:cs="Arial"/>
          <w:color w:val="00455E"/>
          <w:sz w:val="22"/>
          <w:szCs w:val="22"/>
          <w:lang w:val="lt-LT"/>
        </w:rPr>
        <w:t>,</w:t>
      </w:r>
      <w:r w:rsidR="0F0E3161" w:rsidRPr="00AF299C">
        <w:rPr>
          <w:rFonts w:ascii="Arial" w:eastAsiaTheme="minorEastAsia" w:hAnsi="Arial" w:cs="Arial"/>
          <w:color w:val="00455E"/>
          <w:sz w:val="22"/>
          <w:szCs w:val="22"/>
          <w:lang w:val="lt-LT"/>
        </w:rPr>
        <w:t>5</w:t>
      </w:r>
      <w:r w:rsidRPr="00AF299C">
        <w:rPr>
          <w:rFonts w:ascii="Arial" w:eastAsiaTheme="minorEastAsia" w:hAnsi="Arial" w:cs="Arial"/>
          <w:color w:val="00455E"/>
          <w:sz w:val="22"/>
          <w:szCs w:val="22"/>
          <w:lang w:val="lt-LT"/>
        </w:rPr>
        <w:t xml:space="preserve"> mln. eurų. Palyginimui, 2024 m. </w:t>
      </w:r>
      <w:r w:rsidR="6D9008E6" w:rsidRPr="00AF299C">
        <w:rPr>
          <w:rFonts w:ascii="Arial" w:eastAsiaTheme="minorEastAsia" w:hAnsi="Arial" w:cs="Arial"/>
          <w:color w:val="00455E"/>
          <w:sz w:val="22"/>
          <w:szCs w:val="22"/>
          <w:lang w:val="lt-LT"/>
        </w:rPr>
        <w:t xml:space="preserve">per ta patį laikotarpį </w:t>
      </w:r>
      <w:r w:rsidRPr="00AF299C">
        <w:rPr>
          <w:rFonts w:ascii="Arial" w:eastAsiaTheme="minorEastAsia" w:hAnsi="Arial" w:cs="Arial"/>
          <w:color w:val="00455E"/>
          <w:sz w:val="22"/>
          <w:szCs w:val="22"/>
          <w:lang w:val="lt-LT"/>
        </w:rPr>
        <w:t>sutarčių vertė sudarė 1</w:t>
      </w:r>
      <w:r w:rsidR="3E950338" w:rsidRPr="00AF299C">
        <w:rPr>
          <w:rFonts w:ascii="Arial" w:eastAsiaTheme="minorEastAsia" w:hAnsi="Arial" w:cs="Arial"/>
          <w:color w:val="00455E"/>
          <w:sz w:val="22"/>
          <w:szCs w:val="22"/>
          <w:lang w:val="lt-LT"/>
        </w:rPr>
        <w:t>8</w:t>
      </w:r>
      <w:r w:rsidRPr="00AF299C">
        <w:rPr>
          <w:rFonts w:ascii="Arial" w:eastAsiaTheme="minorEastAsia" w:hAnsi="Arial" w:cs="Arial"/>
          <w:color w:val="00455E"/>
          <w:sz w:val="22"/>
          <w:szCs w:val="22"/>
          <w:lang w:val="lt-LT"/>
        </w:rPr>
        <w:t>,</w:t>
      </w:r>
      <w:r w:rsidR="0FDD9468" w:rsidRPr="00AF299C">
        <w:rPr>
          <w:rFonts w:ascii="Arial" w:eastAsiaTheme="minorEastAsia" w:hAnsi="Arial" w:cs="Arial"/>
          <w:color w:val="00455E"/>
          <w:sz w:val="22"/>
          <w:szCs w:val="22"/>
          <w:lang w:val="lt-LT"/>
        </w:rPr>
        <w:t>9</w:t>
      </w:r>
      <w:r w:rsidRPr="00AF299C">
        <w:rPr>
          <w:rFonts w:ascii="Arial" w:eastAsiaTheme="minorEastAsia" w:hAnsi="Arial" w:cs="Arial"/>
          <w:color w:val="00455E"/>
          <w:sz w:val="22"/>
          <w:szCs w:val="22"/>
          <w:lang w:val="lt-LT"/>
        </w:rPr>
        <w:t xml:space="preserve"> mln. eurų.</w:t>
      </w:r>
    </w:p>
    <w:p w14:paraId="0E3BF105" w14:textId="78A4F969" w:rsidR="00AF299C" w:rsidRPr="00AF299C" w:rsidRDefault="0D6ECFBE" w:rsidP="00AF299C">
      <w:pPr>
        <w:rPr>
          <w:rFonts w:ascii="Arial" w:hAnsi="Arial" w:cs="Arial"/>
          <w:color w:val="00455E"/>
          <w:sz w:val="22"/>
          <w:szCs w:val="22"/>
          <w:lang w:val="lt-LT" w:eastAsia="en-GB"/>
        </w:rPr>
      </w:pPr>
      <w:r w:rsidRPr="00AF299C">
        <w:rPr>
          <w:rFonts w:ascii="Arial" w:eastAsiaTheme="minorEastAsia" w:hAnsi="Arial" w:cs="Arial"/>
          <w:color w:val="00455E"/>
          <w:sz w:val="22"/>
          <w:szCs w:val="22"/>
          <w:lang w:val="lt"/>
        </w:rPr>
        <w:t xml:space="preserve">2025 m. didžiausią </w:t>
      </w:r>
      <w:r w:rsidR="3DA51D75" w:rsidRPr="00AF299C">
        <w:rPr>
          <w:rFonts w:ascii="Arial" w:eastAsiaTheme="minorEastAsia" w:hAnsi="Arial" w:cs="Arial"/>
          <w:color w:val="00455E"/>
          <w:sz w:val="22"/>
          <w:szCs w:val="22"/>
          <w:lang w:val="lt"/>
        </w:rPr>
        <w:t xml:space="preserve">verslams </w:t>
      </w:r>
      <w:r w:rsidR="5F948245" w:rsidRPr="00AF299C">
        <w:rPr>
          <w:rFonts w:ascii="Arial" w:eastAsiaTheme="minorEastAsia" w:hAnsi="Arial" w:cs="Arial"/>
          <w:color w:val="00455E"/>
          <w:sz w:val="22"/>
          <w:szCs w:val="22"/>
          <w:lang w:val="lt"/>
        </w:rPr>
        <w:t xml:space="preserve">suteiktų </w:t>
      </w:r>
      <w:r w:rsidRPr="00AF299C">
        <w:rPr>
          <w:rFonts w:ascii="Arial" w:eastAsiaTheme="minorEastAsia" w:hAnsi="Arial" w:cs="Arial"/>
          <w:color w:val="00455E"/>
          <w:sz w:val="22"/>
          <w:szCs w:val="22"/>
          <w:lang w:val="lt"/>
        </w:rPr>
        <w:t>individualių garantijų dalį sudarė paskoloms ir lizingui skirtos garantijos, kurios per</w:t>
      </w:r>
      <w:r w:rsidR="00AF299C" w:rsidRPr="00AF299C">
        <w:rPr>
          <w:rFonts w:ascii="Arial" w:eastAsiaTheme="minorEastAsia" w:hAnsi="Arial" w:cs="Arial"/>
          <w:color w:val="00455E"/>
          <w:sz w:val="22"/>
          <w:szCs w:val="22"/>
          <w:lang w:val="lt"/>
        </w:rPr>
        <w:t xml:space="preserve"> </w:t>
      </w:r>
      <w:r w:rsidRPr="00AF299C">
        <w:rPr>
          <w:rFonts w:ascii="Arial" w:eastAsiaTheme="minorEastAsia" w:hAnsi="Arial" w:cs="Arial"/>
          <w:color w:val="00455E"/>
          <w:sz w:val="22"/>
          <w:szCs w:val="22"/>
          <w:lang w:val="lt"/>
        </w:rPr>
        <w:t xml:space="preserve">2025 m. sudarė </w:t>
      </w:r>
      <w:r w:rsidR="1C926F64" w:rsidRPr="00AF299C">
        <w:rPr>
          <w:rFonts w:ascii="Arial" w:eastAsiaTheme="minorEastAsia" w:hAnsi="Arial" w:cs="Arial"/>
          <w:color w:val="00455E"/>
          <w:sz w:val="22"/>
          <w:szCs w:val="22"/>
          <w:lang w:val="lt"/>
        </w:rPr>
        <w:t>daug</w:t>
      </w:r>
      <w:r w:rsidR="00AF299C" w:rsidRPr="00AF299C">
        <w:rPr>
          <w:rFonts w:ascii="Arial" w:eastAsiaTheme="minorEastAsia" w:hAnsi="Arial" w:cs="Arial"/>
          <w:color w:val="00455E"/>
          <w:sz w:val="22"/>
          <w:szCs w:val="22"/>
          <w:lang w:val="lt"/>
        </w:rPr>
        <w:t>i</w:t>
      </w:r>
      <w:r w:rsidR="1C926F64" w:rsidRPr="00AF299C">
        <w:rPr>
          <w:rFonts w:ascii="Arial" w:eastAsiaTheme="minorEastAsia" w:hAnsi="Arial" w:cs="Arial"/>
          <w:color w:val="00455E"/>
          <w:sz w:val="22"/>
          <w:szCs w:val="22"/>
          <w:lang w:val="lt"/>
        </w:rPr>
        <w:t xml:space="preserve">au nei </w:t>
      </w:r>
      <w:r w:rsidRPr="00AF299C">
        <w:rPr>
          <w:rFonts w:ascii="Arial" w:eastAsiaTheme="minorEastAsia" w:hAnsi="Arial" w:cs="Arial"/>
          <w:color w:val="00455E"/>
          <w:sz w:val="22"/>
          <w:szCs w:val="22"/>
          <w:lang w:val="lt"/>
        </w:rPr>
        <w:t xml:space="preserve"> 8</w:t>
      </w:r>
      <w:r w:rsidR="4D2ED16B" w:rsidRPr="00AF299C">
        <w:rPr>
          <w:rFonts w:ascii="Arial" w:eastAsiaTheme="minorEastAsia" w:hAnsi="Arial" w:cs="Arial"/>
          <w:color w:val="00455E"/>
          <w:sz w:val="22"/>
          <w:szCs w:val="22"/>
          <w:lang w:val="lt"/>
        </w:rPr>
        <w:t>0</w:t>
      </w:r>
      <w:r w:rsidRPr="00AF299C">
        <w:rPr>
          <w:rFonts w:ascii="Arial" w:eastAsiaTheme="minorEastAsia" w:hAnsi="Arial" w:cs="Arial"/>
          <w:color w:val="00455E"/>
          <w:sz w:val="22"/>
          <w:szCs w:val="22"/>
          <w:lang w:val="lt"/>
        </w:rPr>
        <w:t xml:space="preserve"> proc. suteikto finansavimo, </w:t>
      </w:r>
      <w:r w:rsidR="1031A17A" w:rsidRPr="00AF299C">
        <w:rPr>
          <w:rFonts w:ascii="Arial" w:eastAsiaTheme="minorEastAsia" w:hAnsi="Arial" w:cs="Arial"/>
          <w:color w:val="00455E"/>
          <w:sz w:val="22"/>
          <w:szCs w:val="22"/>
          <w:lang w:val="lt"/>
        </w:rPr>
        <w:t xml:space="preserve">liksią dalį sudarė </w:t>
      </w:r>
      <w:r w:rsidRPr="00AF299C">
        <w:rPr>
          <w:rFonts w:ascii="Arial" w:eastAsiaTheme="minorEastAsia" w:hAnsi="Arial" w:cs="Arial"/>
          <w:color w:val="00455E"/>
          <w:sz w:val="22"/>
          <w:szCs w:val="22"/>
          <w:lang w:val="lt"/>
        </w:rPr>
        <w:t xml:space="preserve">garantijos obligacijoms </w:t>
      </w:r>
      <w:r w:rsidR="1CB64620" w:rsidRPr="00AF299C">
        <w:rPr>
          <w:rFonts w:ascii="Arial" w:eastAsiaTheme="minorEastAsia" w:hAnsi="Arial" w:cs="Arial"/>
          <w:color w:val="00455E"/>
          <w:sz w:val="22"/>
          <w:szCs w:val="22"/>
          <w:lang w:val="lt"/>
        </w:rPr>
        <w:t xml:space="preserve">ir </w:t>
      </w:r>
      <w:r w:rsidRPr="00AF299C">
        <w:rPr>
          <w:rFonts w:ascii="Arial" w:eastAsiaTheme="minorEastAsia" w:hAnsi="Arial" w:cs="Arial"/>
          <w:color w:val="00455E"/>
          <w:sz w:val="22"/>
          <w:szCs w:val="22"/>
          <w:lang w:val="lt"/>
        </w:rPr>
        <w:t xml:space="preserve"> eksporto kredito garantijos.</w:t>
      </w:r>
      <w:r w:rsidR="5BAAA3AB" w:rsidRPr="00AF299C">
        <w:rPr>
          <w:rFonts w:ascii="Arial" w:eastAsiaTheme="minorEastAsia" w:hAnsi="Arial" w:cs="Arial"/>
          <w:color w:val="00455E"/>
          <w:sz w:val="22"/>
          <w:szCs w:val="22"/>
          <w:lang w:val="lt"/>
        </w:rPr>
        <w:t xml:space="preserve"> </w:t>
      </w:r>
      <w:r w:rsidR="49E8ADAB" w:rsidRPr="00AF299C">
        <w:rPr>
          <w:rFonts w:ascii="Arial" w:eastAsiaTheme="minorEastAsia" w:hAnsi="Arial" w:cs="Arial"/>
          <w:color w:val="00455E"/>
          <w:sz w:val="22"/>
          <w:szCs w:val="22"/>
          <w:lang w:val="lt"/>
        </w:rPr>
        <w:t>Aktyviausiai individualiomis garantijomis naudojasi</w:t>
      </w:r>
      <w:r w:rsidRPr="00AF299C">
        <w:rPr>
          <w:rFonts w:ascii="Arial" w:eastAsiaTheme="minorEastAsia" w:hAnsi="Arial" w:cs="Arial"/>
          <w:color w:val="00455E"/>
          <w:sz w:val="22"/>
          <w:szCs w:val="22"/>
          <w:lang w:val="lt"/>
        </w:rPr>
        <w:t xml:space="preserve"> didmeninės ir mažmeninės prekybos, bei statybos veikla užsiimančios </w:t>
      </w:r>
      <w:r w:rsidR="66905A34" w:rsidRPr="00AF299C">
        <w:rPr>
          <w:rFonts w:ascii="Arial" w:eastAsiaTheme="minorEastAsia" w:hAnsi="Arial" w:cs="Arial"/>
          <w:color w:val="00455E"/>
          <w:sz w:val="22"/>
          <w:szCs w:val="22"/>
          <w:lang w:val="lt"/>
        </w:rPr>
        <w:t>mažos ir labai mažos įmonės.</w:t>
      </w:r>
      <w:r w:rsidR="00565084" w:rsidRPr="00AF299C">
        <w:rPr>
          <w:rFonts w:ascii="Arial" w:hAnsi="Arial" w:cs="Arial"/>
          <w:color w:val="00455E"/>
          <w:sz w:val="22"/>
          <w:szCs w:val="22"/>
        </w:rPr>
        <w:br/>
      </w:r>
      <w:r w:rsidR="00565084" w:rsidRPr="00AF299C">
        <w:rPr>
          <w:rFonts w:ascii="Arial" w:hAnsi="Arial" w:cs="Arial"/>
          <w:color w:val="00455E"/>
          <w:sz w:val="22"/>
          <w:szCs w:val="22"/>
        </w:rPr>
        <w:br/>
      </w:r>
      <w:r w:rsidR="08951811" w:rsidRPr="00AF299C">
        <w:rPr>
          <w:rFonts w:ascii="Arial" w:hAnsi="Arial" w:cs="Arial"/>
          <w:b/>
          <w:bCs/>
          <w:color w:val="00455E"/>
          <w:sz w:val="22"/>
          <w:szCs w:val="22"/>
          <w:lang w:val="lt-LT" w:eastAsia="en-GB"/>
        </w:rPr>
        <w:t>Aiškus pasirengimas – svarbiausia sąlyga greitesniam sprendimui</w:t>
      </w:r>
    </w:p>
    <w:p w14:paraId="3476CBEE" w14:textId="7CC78B67" w:rsidR="00565084" w:rsidRPr="00AF299C" w:rsidRDefault="08951811"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Vertindami paraiškas, tiek nacionalinis plėtros bankas, tiek finansavimą suteikiančios finansų įstaigos pastebi panašias tendencijas: paskolos procesas dažniausiai sulėtėja dėl nepakankamai nuosekliai parengtos medžiagos. Įmonės ne visuomet pateikia tikslias pinigų srautų prognozes, paskolos paskirtis kartais būna aprašyta per abstrakčiai, o verslo planuose numatyti prognoziniai finansiniai rodikliai nesuderinami su realiais finansiniais rezultatais.</w:t>
      </w:r>
    </w:p>
    <w:p w14:paraId="0140A1EA" w14:textId="77777777" w:rsidR="00AF299C" w:rsidRPr="00AF299C" w:rsidRDefault="00AF299C" w:rsidP="00AF299C">
      <w:pPr>
        <w:rPr>
          <w:rFonts w:ascii="Arial" w:hAnsi="Arial" w:cs="Arial"/>
          <w:color w:val="00455E"/>
          <w:sz w:val="22"/>
          <w:szCs w:val="22"/>
          <w:lang w:val="lt-LT" w:eastAsia="en-GB"/>
        </w:rPr>
      </w:pPr>
    </w:p>
    <w:p w14:paraId="637802DD" w14:textId="77777777" w:rsidR="00AF299C" w:rsidRPr="00AF299C" w:rsidRDefault="00AF299C" w:rsidP="00AF299C">
      <w:pPr>
        <w:rPr>
          <w:rFonts w:ascii="Arial" w:hAnsi="Arial" w:cs="Arial"/>
          <w:color w:val="00455E"/>
          <w:sz w:val="22"/>
          <w:szCs w:val="22"/>
          <w:lang w:val="lt-LT" w:eastAsia="en-GB"/>
        </w:rPr>
      </w:pPr>
    </w:p>
    <w:p w14:paraId="34489DEB" w14:textId="0E12B2EA" w:rsidR="005F6EDA" w:rsidRPr="00AF299C" w:rsidRDefault="7C8D4296"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Kaip pastebi „</w:t>
      </w:r>
      <w:proofErr w:type="spellStart"/>
      <w:r w:rsidRPr="00AF299C">
        <w:rPr>
          <w:rFonts w:ascii="Arial" w:hAnsi="Arial" w:cs="Arial"/>
          <w:color w:val="00455E"/>
          <w:sz w:val="22"/>
          <w:szCs w:val="22"/>
          <w:lang w:val="lt-LT" w:eastAsia="en-GB"/>
        </w:rPr>
        <w:t>Artea</w:t>
      </w:r>
      <w:proofErr w:type="spellEnd"/>
      <w:r w:rsidRPr="00AF299C">
        <w:rPr>
          <w:rFonts w:ascii="Arial" w:hAnsi="Arial" w:cs="Arial"/>
          <w:color w:val="00455E"/>
          <w:sz w:val="22"/>
          <w:szCs w:val="22"/>
          <w:lang w:val="lt-LT" w:eastAsia="en-GB"/>
        </w:rPr>
        <w:t xml:space="preserve">“ banko produktų vadovė Simona </w:t>
      </w:r>
      <w:proofErr w:type="spellStart"/>
      <w:r w:rsidRPr="00AF299C">
        <w:rPr>
          <w:rFonts w:ascii="Arial" w:hAnsi="Arial" w:cs="Arial"/>
          <w:color w:val="00455E"/>
          <w:sz w:val="22"/>
          <w:szCs w:val="22"/>
          <w:lang w:val="lt-LT" w:eastAsia="en-GB"/>
        </w:rPr>
        <w:t>Vonžodienė</w:t>
      </w:r>
      <w:proofErr w:type="spellEnd"/>
      <w:r w:rsidRPr="00AF299C">
        <w:rPr>
          <w:rFonts w:ascii="Arial" w:hAnsi="Arial" w:cs="Arial"/>
          <w:color w:val="00455E"/>
          <w:sz w:val="22"/>
          <w:szCs w:val="22"/>
          <w:lang w:val="lt-LT" w:eastAsia="en-GB"/>
        </w:rPr>
        <w:t>, nepakankamas įmonių pasirengimas lemia ne tik ilgesnį vertinimo procesą, bet ir papildomą administracinę naštą tiek verslui, tiek finansuotojui.</w:t>
      </w:r>
    </w:p>
    <w:p w14:paraId="4C7A4313" w14:textId="77777777" w:rsidR="00565084" w:rsidRPr="00AF299C" w:rsidRDefault="62652773"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 xml:space="preserve">„Pradiniame etape pateikta nepakankamai išsami informacija dažnai lemia papildomus banko klausimus. Tai nėra formalus reikalavimas – taip užtikrinama, kad kredito rizika būtų įvertinta tiksliai, o klientui pasiūlytas finansavimo modelis atitiktų jo realias galimybes“, – pažymi S. </w:t>
      </w:r>
      <w:proofErr w:type="spellStart"/>
      <w:r w:rsidRPr="00AF299C">
        <w:rPr>
          <w:rFonts w:ascii="Arial" w:hAnsi="Arial" w:cs="Arial"/>
          <w:color w:val="00455E"/>
          <w:sz w:val="22"/>
          <w:szCs w:val="22"/>
          <w:lang w:val="lt-LT" w:eastAsia="en-GB"/>
        </w:rPr>
        <w:t>Vonžodienė</w:t>
      </w:r>
      <w:proofErr w:type="spellEnd"/>
      <w:r w:rsidRPr="00AF299C">
        <w:rPr>
          <w:rFonts w:ascii="Arial" w:hAnsi="Arial" w:cs="Arial"/>
          <w:color w:val="00455E"/>
          <w:sz w:val="22"/>
          <w:szCs w:val="22"/>
          <w:lang w:val="lt-LT" w:eastAsia="en-GB"/>
        </w:rPr>
        <w:t>.</w:t>
      </w:r>
    </w:p>
    <w:p w14:paraId="096C1309" w14:textId="6A97E0A4" w:rsidR="00565084" w:rsidRPr="00AF299C" w:rsidRDefault="5D272414" w:rsidP="00AF299C">
      <w:pPr>
        <w:rPr>
          <w:rFonts w:ascii="Arial" w:hAnsi="Arial" w:cs="Arial"/>
          <w:color w:val="00455E"/>
          <w:sz w:val="22"/>
          <w:szCs w:val="22"/>
          <w:lang w:val="lt-LT" w:eastAsia="en-GB"/>
        </w:rPr>
      </w:pPr>
      <w:r w:rsidRPr="00AF299C">
        <w:rPr>
          <w:rFonts w:ascii="Arial" w:eastAsiaTheme="minorEastAsia" w:hAnsi="Arial" w:cs="Arial"/>
          <w:color w:val="00455E"/>
          <w:sz w:val="22"/>
          <w:szCs w:val="22"/>
          <w:lang w:val="lt-LT" w:eastAsia="en-GB"/>
        </w:rPr>
        <w:t xml:space="preserve">J. Rėkutė </w:t>
      </w:r>
      <w:r w:rsidR="62652773" w:rsidRPr="00AF299C">
        <w:rPr>
          <w:rFonts w:ascii="Arial" w:hAnsi="Arial" w:cs="Arial"/>
          <w:color w:val="00455E"/>
          <w:sz w:val="22"/>
          <w:szCs w:val="22"/>
          <w:lang w:val="lt-LT" w:eastAsia="en-GB"/>
        </w:rPr>
        <w:t xml:space="preserve">verslams rekomenduoja dar prieš kreipiantis į finansuotoją įsivertinti, ar planuojamas projektas generuos pakankamus pinigų srautus, ar įmonė turi bent minimalią veiklos istoriją ir ar verslo planas parengtas taip, kad leistų objektyviai įvertinti projekto atsiperkamumą. </w:t>
      </w:r>
    </w:p>
    <w:p w14:paraId="1222FFA9" w14:textId="0A04BA84" w:rsidR="00565084" w:rsidRPr="00AF299C" w:rsidRDefault="62652773"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 xml:space="preserve">„Pirmasis žingsnis svarstant garantijos taikymą visais atvejais yra kreipimasis į finansavimo partnerius – bankus, kredito unijas, alternatyvius finansuotojus ar sutelktinio finansavimo platformas, kurie įvertina įmonės poreikį ir padeda parengti reikiamus dokumentus“, – teigia </w:t>
      </w:r>
      <w:r w:rsidR="4930A61E" w:rsidRPr="00AF299C">
        <w:rPr>
          <w:rFonts w:ascii="Arial" w:eastAsiaTheme="minorEastAsia" w:hAnsi="Arial" w:cs="Arial"/>
          <w:color w:val="00455E"/>
          <w:sz w:val="22"/>
          <w:szCs w:val="22"/>
          <w:lang w:val="lt-LT" w:eastAsia="en-GB"/>
        </w:rPr>
        <w:t>J. Rėkutė</w:t>
      </w:r>
      <w:r w:rsidRPr="00AF299C">
        <w:rPr>
          <w:rFonts w:ascii="Arial" w:hAnsi="Arial" w:cs="Arial"/>
          <w:color w:val="00455E"/>
          <w:sz w:val="22"/>
          <w:szCs w:val="22"/>
          <w:lang w:val="lt-LT" w:eastAsia="en-GB"/>
        </w:rPr>
        <w:t>.</w:t>
      </w:r>
    </w:p>
    <w:p w14:paraId="7576B574" w14:textId="1F059236" w:rsidR="00565084" w:rsidRPr="00AF299C" w:rsidRDefault="08951811"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Vis dėlto, kaip pa</w:t>
      </w:r>
      <w:r w:rsidR="6B4566D8" w:rsidRPr="00AF299C">
        <w:rPr>
          <w:rFonts w:ascii="Arial" w:hAnsi="Arial" w:cs="Arial"/>
          <w:color w:val="00455E"/>
          <w:sz w:val="22"/>
          <w:szCs w:val="22"/>
          <w:lang w:val="lt-LT" w:eastAsia="en-GB"/>
        </w:rPr>
        <w:t>ste</w:t>
      </w:r>
      <w:r w:rsidRPr="00AF299C">
        <w:rPr>
          <w:rFonts w:ascii="Arial" w:hAnsi="Arial" w:cs="Arial"/>
          <w:color w:val="00455E"/>
          <w:sz w:val="22"/>
          <w:szCs w:val="22"/>
          <w:lang w:val="lt-LT" w:eastAsia="en-GB"/>
        </w:rPr>
        <w:t xml:space="preserve">bi pašnekovė, pagrindinis iššūkis šiandien nėra pats finansavimo prieinamumas, o pateikiamos informacijos trūkumas ir nepakankamas pasirengimas finansų planavimui. </w:t>
      </w:r>
    </w:p>
    <w:p w14:paraId="661C0692" w14:textId="2CAE12C3" w:rsidR="00565084" w:rsidRPr="00AF299C" w:rsidRDefault="08951811"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„Matome, kad įmonės neretai kreipiasi į finansuotojus turėdamos realų poreikį ir potencialą augti, tačiau stokodamos informacijos apie papildomus rizikos mažinimo instrumentus“, – pažymi pašnekovė.</w:t>
      </w:r>
    </w:p>
    <w:p w14:paraId="2279BEFC" w14:textId="37353729" w:rsidR="008D452C" w:rsidRPr="00AF299C" w:rsidRDefault="62F42ECE" w:rsidP="00AF299C">
      <w:pPr>
        <w:rPr>
          <w:rFonts w:ascii="Arial" w:hAnsi="Arial" w:cs="Arial"/>
          <w:b/>
          <w:bCs/>
          <w:color w:val="00455E"/>
          <w:sz w:val="22"/>
          <w:szCs w:val="22"/>
          <w:lang w:val="lt-LT" w:eastAsia="en-GB"/>
        </w:rPr>
      </w:pPr>
      <w:r w:rsidRPr="00AF299C">
        <w:rPr>
          <w:rFonts w:ascii="Arial" w:hAnsi="Arial" w:cs="Arial"/>
          <w:b/>
          <w:bCs/>
          <w:color w:val="00455E"/>
          <w:sz w:val="22"/>
          <w:szCs w:val="22"/>
          <w:lang w:val="lt-LT" w:eastAsia="en-GB"/>
        </w:rPr>
        <w:t>Verslams padeda įgyvendinti plėtrą</w:t>
      </w:r>
    </w:p>
    <w:p w14:paraId="3F0B5384" w14:textId="7AE32F92" w:rsidR="00AF299C" w:rsidRPr="00AF299C" w:rsidRDefault="5DB5E620"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Vienas iš pastaruoju metu taikytų individualios garantijos pavyzdžių – „</w:t>
      </w:r>
      <w:proofErr w:type="spellStart"/>
      <w:r w:rsidRPr="00AF299C">
        <w:rPr>
          <w:rFonts w:ascii="Arial" w:hAnsi="Arial" w:cs="Arial"/>
          <w:color w:val="00455E"/>
          <w:sz w:val="22"/>
          <w:szCs w:val="22"/>
          <w:lang w:val="lt-LT" w:eastAsia="en-GB"/>
        </w:rPr>
        <w:t>Artea</w:t>
      </w:r>
      <w:proofErr w:type="spellEnd"/>
      <w:r w:rsidRPr="00AF299C">
        <w:rPr>
          <w:rFonts w:ascii="Arial" w:hAnsi="Arial" w:cs="Arial"/>
          <w:color w:val="00455E"/>
          <w:sz w:val="22"/>
          <w:szCs w:val="22"/>
          <w:lang w:val="lt-LT" w:eastAsia="en-GB"/>
        </w:rPr>
        <w:t>“ banko sprendimas finansuoti UAB „Trukmė“ apyvartinio kapitalo poreikius. Įmonei, veikiančiai baldų gamybos medžiagų prekybos ir baldinių ruošinių gamybos srityse, plečiant veiklą tiek Lietuvoje, tiek eksporto rinkose, išaugo papildomo kapitalo poreikis. Kreditą finansų įstaiga suteikė pasitelkusi 2,24 mln. eurų ILTE individualią garantiją.</w:t>
      </w:r>
    </w:p>
    <w:p w14:paraId="06309632" w14:textId="308FD695" w:rsidR="008C1E2C" w:rsidRPr="00AF299C" w:rsidRDefault="5DB5E620"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 xml:space="preserve">UAB „Trukmė“ komercijos direktorius Audrius Grigonis pažymi, kad garantija turėjo </w:t>
      </w:r>
      <w:r w:rsidR="62B81B43" w:rsidRPr="00AF299C">
        <w:rPr>
          <w:rFonts w:ascii="Arial" w:hAnsi="Arial" w:cs="Arial"/>
          <w:color w:val="00455E"/>
          <w:sz w:val="22"/>
          <w:szCs w:val="22"/>
          <w:lang w:val="lt-LT" w:eastAsia="en-GB"/>
        </w:rPr>
        <w:t xml:space="preserve">didelį </w:t>
      </w:r>
      <w:r w:rsidRPr="00AF299C">
        <w:rPr>
          <w:rFonts w:ascii="Arial" w:hAnsi="Arial" w:cs="Arial"/>
          <w:color w:val="00455E"/>
          <w:sz w:val="22"/>
          <w:szCs w:val="22"/>
          <w:lang w:val="lt-LT" w:eastAsia="en-GB"/>
        </w:rPr>
        <w:t xml:space="preserve">poveikį įmonės plėtros tempui. </w:t>
      </w:r>
    </w:p>
    <w:p w14:paraId="0EC705AF" w14:textId="6C0122CF" w:rsidR="00AF299C" w:rsidRPr="00AF299C" w:rsidRDefault="5DB5E620"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„Augimas eksporto rinkose reikalauja didesnio apyvartinio kapitalo ir nuoseklių investicijų į procesų efektyvumą bei technologijas. ILTE garantija bankui suteikė daugiau užtikrintumo finansuoti mūsų plėtros etapą ir sudarė galimybę gauti ilgalaikį kreditą, kuris svarbus įgyvendinant strateginius tikslus. Tai pad</w:t>
      </w:r>
      <w:r w:rsidR="5619267E" w:rsidRPr="00AF299C">
        <w:rPr>
          <w:rFonts w:ascii="Arial" w:hAnsi="Arial" w:cs="Arial"/>
          <w:color w:val="00455E"/>
          <w:sz w:val="22"/>
          <w:szCs w:val="22"/>
          <w:lang w:val="lt-LT" w:eastAsia="en-GB"/>
        </w:rPr>
        <w:t>ėjo</w:t>
      </w:r>
      <w:r w:rsidRPr="00AF299C">
        <w:rPr>
          <w:rFonts w:ascii="Arial" w:hAnsi="Arial" w:cs="Arial"/>
          <w:color w:val="00455E"/>
          <w:sz w:val="22"/>
          <w:szCs w:val="22"/>
          <w:lang w:val="lt-LT" w:eastAsia="en-GB"/>
        </w:rPr>
        <w:t xml:space="preserve"> didinti gamybos pajėgumus, gerinti aptarnavimo kokybę ir ruoštis didesnės apimties užsakymams“, – sako A. Grigonis.</w:t>
      </w:r>
    </w:p>
    <w:p w14:paraId="46264772" w14:textId="0431B211" w:rsidR="008C1E2C" w:rsidRPr="00AF299C" w:rsidRDefault="7C8D4296"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 xml:space="preserve">S. </w:t>
      </w:r>
      <w:proofErr w:type="spellStart"/>
      <w:r w:rsidR="5DB5E620" w:rsidRPr="00AF299C">
        <w:rPr>
          <w:rFonts w:ascii="Arial" w:hAnsi="Arial" w:cs="Arial"/>
          <w:color w:val="00455E"/>
          <w:sz w:val="22"/>
          <w:szCs w:val="22"/>
          <w:lang w:val="lt-LT" w:eastAsia="en-GB"/>
        </w:rPr>
        <w:t>Vonžodienė</w:t>
      </w:r>
      <w:r w:rsidRPr="00AF299C">
        <w:rPr>
          <w:rFonts w:ascii="Arial" w:hAnsi="Arial" w:cs="Arial"/>
          <w:color w:val="00455E"/>
          <w:sz w:val="22"/>
          <w:szCs w:val="22"/>
          <w:lang w:val="lt-LT" w:eastAsia="en-GB"/>
        </w:rPr>
        <w:t>s</w:t>
      </w:r>
      <w:proofErr w:type="spellEnd"/>
      <w:r w:rsidRPr="00AF299C">
        <w:rPr>
          <w:rFonts w:ascii="Arial" w:hAnsi="Arial" w:cs="Arial"/>
          <w:color w:val="00455E"/>
          <w:sz w:val="22"/>
          <w:szCs w:val="22"/>
          <w:lang w:val="lt-LT" w:eastAsia="en-GB"/>
        </w:rPr>
        <w:t xml:space="preserve"> teigimu</w:t>
      </w:r>
      <w:r w:rsidR="5DB5E620" w:rsidRPr="00AF299C">
        <w:rPr>
          <w:rFonts w:ascii="Arial" w:hAnsi="Arial" w:cs="Arial"/>
          <w:color w:val="00455E"/>
          <w:sz w:val="22"/>
          <w:szCs w:val="22"/>
          <w:lang w:val="lt-LT" w:eastAsia="en-GB"/>
        </w:rPr>
        <w:t>, tokio tipo situacijos nėra išskirtinės – plėtrą vykdančios įmonės dažnai susiduria su ribotomis užstato galimybėmis arba sudėtingesne finansavimo struktūra. Pasak jos, būtent tokiais atvejais individualios garantijos tampa svarbiu sprendimu, leidžiančiu finansuoti ekonomiškai pagrįstus projektus ir kartu valdyti riziką.</w:t>
      </w:r>
    </w:p>
    <w:p w14:paraId="3391CB7C" w14:textId="77777777" w:rsidR="00AF299C" w:rsidRPr="00AF299C" w:rsidRDefault="00AF299C" w:rsidP="00AF299C">
      <w:pPr>
        <w:rPr>
          <w:rFonts w:ascii="Arial" w:hAnsi="Arial" w:cs="Arial"/>
          <w:color w:val="00455E"/>
          <w:sz w:val="22"/>
          <w:szCs w:val="22"/>
          <w:lang w:val="lt-LT" w:eastAsia="en-GB"/>
        </w:rPr>
      </w:pPr>
    </w:p>
    <w:p w14:paraId="69A854DB" w14:textId="3BC5EFEB" w:rsidR="0049489E" w:rsidRDefault="5DB5E620" w:rsidP="00AF299C">
      <w:pPr>
        <w:rPr>
          <w:rFonts w:ascii="Arial" w:hAnsi="Arial" w:cs="Arial"/>
          <w:color w:val="00455E"/>
          <w:sz w:val="22"/>
          <w:szCs w:val="22"/>
          <w:lang w:val="lt-LT" w:eastAsia="en-GB"/>
        </w:rPr>
      </w:pPr>
      <w:r w:rsidRPr="00AF299C">
        <w:rPr>
          <w:rFonts w:ascii="Arial" w:hAnsi="Arial" w:cs="Arial"/>
          <w:color w:val="00455E"/>
          <w:sz w:val="22"/>
          <w:szCs w:val="22"/>
          <w:lang w:val="lt-LT" w:eastAsia="en-GB"/>
        </w:rPr>
        <w:t>„</w:t>
      </w:r>
      <w:r w:rsidR="397E470A" w:rsidRPr="00AF299C">
        <w:rPr>
          <w:rFonts w:ascii="Arial" w:hAnsi="Arial" w:cs="Arial"/>
          <w:color w:val="00455E"/>
          <w:sz w:val="22"/>
          <w:szCs w:val="22"/>
          <w:lang w:val="lt-LT" w:eastAsia="en-GB"/>
        </w:rPr>
        <w:t>Individuali garantija naudojama</w:t>
      </w:r>
      <w:r w:rsidRPr="00AF299C">
        <w:rPr>
          <w:rFonts w:ascii="Arial" w:hAnsi="Arial" w:cs="Arial"/>
          <w:color w:val="00455E"/>
          <w:sz w:val="22"/>
          <w:szCs w:val="22"/>
          <w:lang w:val="lt-LT" w:eastAsia="en-GB"/>
        </w:rPr>
        <w:t xml:space="preserve"> tais atvejais, kai įmonės finansavimo struktūra yra sudėtingesnė arba kai dėl turto įkeitimo galimybių kyla apribojimų. Tokiose situacijose garantija padeda sumažinti riziką ir priimti sprendimą greičiau“, – sako S. </w:t>
      </w:r>
      <w:proofErr w:type="spellStart"/>
      <w:r w:rsidRPr="00AF299C">
        <w:rPr>
          <w:rFonts w:ascii="Arial" w:hAnsi="Arial" w:cs="Arial"/>
          <w:color w:val="00455E"/>
          <w:sz w:val="22"/>
          <w:szCs w:val="22"/>
          <w:lang w:val="lt-LT" w:eastAsia="en-GB"/>
        </w:rPr>
        <w:t>Vonžodienė</w:t>
      </w:r>
      <w:proofErr w:type="spellEnd"/>
      <w:r w:rsidRPr="00AF299C">
        <w:rPr>
          <w:rFonts w:ascii="Arial" w:hAnsi="Arial" w:cs="Arial"/>
          <w:color w:val="00455E"/>
          <w:sz w:val="22"/>
          <w:szCs w:val="22"/>
          <w:lang w:val="lt-LT" w:eastAsia="en-GB"/>
        </w:rPr>
        <w:t xml:space="preserve">. </w:t>
      </w:r>
    </w:p>
    <w:p w14:paraId="12803B7B" w14:textId="77777777" w:rsidR="00AF299C" w:rsidRDefault="00AF299C" w:rsidP="00AF299C">
      <w:pPr>
        <w:spacing w:after="0" w:line="240" w:lineRule="auto"/>
        <w:jc w:val="both"/>
        <w:rPr>
          <w:rFonts w:ascii="Arial" w:eastAsia="Calibri" w:hAnsi="Arial" w:cs="Arial"/>
          <w:color w:val="00435B"/>
          <w:sz w:val="16"/>
          <w:szCs w:val="16"/>
          <w:lang w:val="lt-LT"/>
        </w:rPr>
      </w:pPr>
    </w:p>
    <w:p w14:paraId="5C76A96F" w14:textId="77777777" w:rsidR="00AF299C" w:rsidRPr="00A81AE5" w:rsidRDefault="00AF299C" w:rsidP="00AF299C">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Daugiau informacijos:</w:t>
      </w:r>
    </w:p>
    <w:p w14:paraId="4F4EF9AA" w14:textId="77777777" w:rsidR="00AF299C" w:rsidRPr="00A81AE5" w:rsidRDefault="00AF299C" w:rsidP="00AF299C">
      <w:pPr>
        <w:spacing w:after="0" w:line="240" w:lineRule="auto"/>
        <w:jc w:val="both"/>
        <w:rPr>
          <w:rFonts w:ascii="Arial" w:eastAsia="Calibri" w:hAnsi="Arial" w:cs="Arial"/>
          <w:color w:val="00435B"/>
          <w:sz w:val="16"/>
          <w:szCs w:val="16"/>
          <w:lang w:val="lt-LT"/>
        </w:rPr>
      </w:pPr>
    </w:p>
    <w:p w14:paraId="23CCCFA4" w14:textId="77777777" w:rsidR="00AF299C" w:rsidRPr="00A81AE5" w:rsidRDefault="00AF299C" w:rsidP="00AF299C">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Viktorija Voroncova</w:t>
      </w:r>
    </w:p>
    <w:p w14:paraId="03469B1A" w14:textId="77777777" w:rsidR="00AF299C" w:rsidRPr="00A81AE5" w:rsidRDefault="00AF299C" w:rsidP="00AF299C">
      <w:pPr>
        <w:spacing w:after="0" w:line="240" w:lineRule="auto"/>
        <w:jc w:val="both"/>
        <w:rPr>
          <w:rFonts w:ascii="Arial" w:eastAsia="Calibri" w:hAnsi="Arial" w:cs="Arial"/>
          <w:color w:val="00435B"/>
          <w:sz w:val="16"/>
          <w:szCs w:val="16"/>
          <w:lang w:val="lt-LT"/>
        </w:rPr>
      </w:pPr>
      <w:r w:rsidRPr="00A81AE5">
        <w:rPr>
          <w:rFonts w:ascii="Arial" w:eastAsia="Calibri" w:hAnsi="Arial" w:cs="Arial"/>
          <w:color w:val="00435B"/>
          <w:sz w:val="16"/>
          <w:szCs w:val="16"/>
          <w:lang w:val="lt-LT"/>
        </w:rPr>
        <w:t>Atstovė žiniasklaidai</w:t>
      </w:r>
    </w:p>
    <w:p w14:paraId="46B8E3BA" w14:textId="77777777" w:rsidR="00AF299C" w:rsidRPr="00A81AE5" w:rsidRDefault="00AF299C" w:rsidP="00AF299C">
      <w:pPr>
        <w:spacing w:after="0" w:line="240" w:lineRule="auto"/>
        <w:jc w:val="both"/>
        <w:rPr>
          <w:rFonts w:ascii="Arial" w:eastAsia="Calibri" w:hAnsi="Arial" w:cs="Arial"/>
          <w:color w:val="00435B"/>
          <w:sz w:val="16"/>
          <w:szCs w:val="16"/>
        </w:rPr>
      </w:pPr>
      <w:r w:rsidRPr="00A81AE5">
        <w:rPr>
          <w:rFonts w:ascii="Arial" w:eastAsia="Calibri" w:hAnsi="Arial" w:cs="Arial"/>
          <w:color w:val="00435B"/>
          <w:sz w:val="16"/>
          <w:szCs w:val="16"/>
          <w:lang w:val="lt-LT"/>
        </w:rPr>
        <w:t xml:space="preserve">El. p. </w:t>
      </w:r>
      <w:hyperlink r:id="rId6" w:history="1">
        <w:r w:rsidRPr="00A81AE5">
          <w:rPr>
            <w:rFonts w:ascii="Arial" w:eastAsia="Calibri" w:hAnsi="Arial" w:cs="Arial"/>
            <w:color w:val="0563C1"/>
            <w:sz w:val="16"/>
            <w:szCs w:val="16"/>
            <w:u w:val="single"/>
            <w:lang w:val="lt-LT"/>
          </w:rPr>
          <w:t>media</w:t>
        </w:r>
        <w:r w:rsidRPr="00A81AE5">
          <w:rPr>
            <w:rFonts w:ascii="Arial" w:eastAsia="Calibri" w:hAnsi="Arial" w:cs="Arial"/>
            <w:color w:val="0563C1"/>
            <w:sz w:val="16"/>
            <w:szCs w:val="16"/>
            <w:u w:val="single"/>
          </w:rPr>
          <w:t>@ilte.lt</w:t>
        </w:r>
      </w:hyperlink>
      <w:r w:rsidRPr="00A81AE5">
        <w:rPr>
          <w:rFonts w:ascii="Arial" w:eastAsia="Calibri" w:hAnsi="Arial" w:cs="Arial"/>
          <w:color w:val="00435B"/>
          <w:sz w:val="16"/>
          <w:szCs w:val="16"/>
        </w:rPr>
        <w:t xml:space="preserve"> </w:t>
      </w:r>
    </w:p>
    <w:p w14:paraId="24B7615B" w14:textId="77777777" w:rsidR="00AF299C" w:rsidRPr="00AF299C" w:rsidRDefault="00AF299C" w:rsidP="00AF299C">
      <w:pPr>
        <w:rPr>
          <w:rFonts w:ascii="Arial" w:hAnsi="Arial" w:cs="Arial"/>
          <w:color w:val="00455E"/>
          <w:sz w:val="22"/>
          <w:szCs w:val="22"/>
          <w:lang w:eastAsia="en-GB"/>
        </w:rPr>
      </w:pPr>
    </w:p>
    <w:sectPr w:rsidR="00AF299C" w:rsidRPr="00AF29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538D" w14:textId="77777777" w:rsidR="00F677DF" w:rsidRDefault="00F677DF" w:rsidP="00AF299C">
      <w:pPr>
        <w:spacing w:after="0" w:line="240" w:lineRule="auto"/>
      </w:pPr>
      <w:r>
        <w:separator/>
      </w:r>
    </w:p>
  </w:endnote>
  <w:endnote w:type="continuationSeparator" w:id="0">
    <w:p w14:paraId="39398E62" w14:textId="77777777" w:rsidR="00F677DF" w:rsidRDefault="00F677DF" w:rsidP="00AF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C25E" w14:textId="77777777" w:rsidR="00F677DF" w:rsidRDefault="00F677DF" w:rsidP="00AF299C">
      <w:pPr>
        <w:spacing w:after="0" w:line="240" w:lineRule="auto"/>
      </w:pPr>
      <w:r>
        <w:separator/>
      </w:r>
    </w:p>
  </w:footnote>
  <w:footnote w:type="continuationSeparator" w:id="0">
    <w:p w14:paraId="24594D72" w14:textId="77777777" w:rsidR="00F677DF" w:rsidRDefault="00F677DF" w:rsidP="00AF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7150" w14:textId="129D4966" w:rsidR="00861A42" w:rsidRDefault="00861A42">
    <w:pPr>
      <w:pStyle w:val="Header"/>
    </w:pPr>
    <w:r>
      <w:rPr>
        <w:rFonts w:ascii="Arial" w:eastAsia="Times New Roman" w:hAnsi="Arial" w:cs="Arial"/>
        <w:noProof/>
        <w:color w:val="0C253B"/>
        <w:kern w:val="0"/>
        <w:sz w:val="18"/>
        <w:szCs w:val="18"/>
        <w:lang w:eastAsia="en-GB"/>
      </w:rPr>
      <w:drawing>
        <wp:anchor distT="0" distB="0" distL="114300" distR="114300" simplePos="0" relativeHeight="251659264" behindDoc="0" locked="0" layoutInCell="1" allowOverlap="1" wp14:anchorId="3715819B" wp14:editId="4F19EFF3">
          <wp:simplePos x="0" y="0"/>
          <wp:positionH relativeFrom="column">
            <wp:posOffset>0</wp:posOffset>
          </wp:positionH>
          <wp:positionV relativeFrom="paragraph">
            <wp:posOffset>-635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C"/>
    <w:rsid w:val="000C55FA"/>
    <w:rsid w:val="000D0DE7"/>
    <w:rsid w:val="001C3C5B"/>
    <w:rsid w:val="00256CEC"/>
    <w:rsid w:val="00270316"/>
    <w:rsid w:val="002E150B"/>
    <w:rsid w:val="00453D5A"/>
    <w:rsid w:val="00454AD4"/>
    <w:rsid w:val="0049489E"/>
    <w:rsid w:val="00501ACB"/>
    <w:rsid w:val="00507C37"/>
    <w:rsid w:val="00565084"/>
    <w:rsid w:val="005C2D0D"/>
    <w:rsid w:val="005D78D9"/>
    <w:rsid w:val="005F6EDA"/>
    <w:rsid w:val="006632EB"/>
    <w:rsid w:val="0068544A"/>
    <w:rsid w:val="00720D00"/>
    <w:rsid w:val="00726BEC"/>
    <w:rsid w:val="00762C3F"/>
    <w:rsid w:val="007E2227"/>
    <w:rsid w:val="00801C35"/>
    <w:rsid w:val="008560EB"/>
    <w:rsid w:val="00861A42"/>
    <w:rsid w:val="00887A17"/>
    <w:rsid w:val="008938DD"/>
    <w:rsid w:val="008C1E2C"/>
    <w:rsid w:val="008D452C"/>
    <w:rsid w:val="008E3B27"/>
    <w:rsid w:val="00912356"/>
    <w:rsid w:val="00914942"/>
    <w:rsid w:val="00960D8F"/>
    <w:rsid w:val="00A83018"/>
    <w:rsid w:val="00A95FCD"/>
    <w:rsid w:val="00AA1748"/>
    <w:rsid w:val="00AC0394"/>
    <w:rsid w:val="00AC4C02"/>
    <w:rsid w:val="00AF299C"/>
    <w:rsid w:val="00B10DD4"/>
    <w:rsid w:val="00B22BC7"/>
    <w:rsid w:val="00B25183"/>
    <w:rsid w:val="00B8186E"/>
    <w:rsid w:val="00B82EA0"/>
    <w:rsid w:val="00BE6115"/>
    <w:rsid w:val="00C37C00"/>
    <w:rsid w:val="00C91C83"/>
    <w:rsid w:val="00C94DD2"/>
    <w:rsid w:val="00D175FB"/>
    <w:rsid w:val="00D178C3"/>
    <w:rsid w:val="00D27C25"/>
    <w:rsid w:val="00D87F15"/>
    <w:rsid w:val="00DC411F"/>
    <w:rsid w:val="00DE6B38"/>
    <w:rsid w:val="00E72046"/>
    <w:rsid w:val="00E9447D"/>
    <w:rsid w:val="00EF148D"/>
    <w:rsid w:val="00F64F7B"/>
    <w:rsid w:val="00F677DF"/>
    <w:rsid w:val="032AD9EC"/>
    <w:rsid w:val="03A56248"/>
    <w:rsid w:val="0735EDF1"/>
    <w:rsid w:val="079D8341"/>
    <w:rsid w:val="08951811"/>
    <w:rsid w:val="0D326972"/>
    <w:rsid w:val="0D6ECFBE"/>
    <w:rsid w:val="0E698825"/>
    <w:rsid w:val="0ED5875F"/>
    <w:rsid w:val="0F0E3161"/>
    <w:rsid w:val="0F69DF75"/>
    <w:rsid w:val="0FDD9468"/>
    <w:rsid w:val="1031A17A"/>
    <w:rsid w:val="10C85632"/>
    <w:rsid w:val="10E58767"/>
    <w:rsid w:val="11D494C4"/>
    <w:rsid w:val="1321662B"/>
    <w:rsid w:val="1409BB09"/>
    <w:rsid w:val="1813FAC9"/>
    <w:rsid w:val="1BFBFCD7"/>
    <w:rsid w:val="1C926F64"/>
    <w:rsid w:val="1C9C416B"/>
    <w:rsid w:val="1CB64620"/>
    <w:rsid w:val="1D7B93F3"/>
    <w:rsid w:val="22DBF674"/>
    <w:rsid w:val="235FF003"/>
    <w:rsid w:val="2463C5EB"/>
    <w:rsid w:val="27F648C6"/>
    <w:rsid w:val="28095203"/>
    <w:rsid w:val="299353DA"/>
    <w:rsid w:val="2A3FC5F4"/>
    <w:rsid w:val="2CE60A92"/>
    <w:rsid w:val="2D72122B"/>
    <w:rsid w:val="2ECD1A86"/>
    <w:rsid w:val="30830C06"/>
    <w:rsid w:val="312A24F5"/>
    <w:rsid w:val="324E28B5"/>
    <w:rsid w:val="36BEE49B"/>
    <w:rsid w:val="387C7A77"/>
    <w:rsid w:val="397E470A"/>
    <w:rsid w:val="3A5FE615"/>
    <w:rsid w:val="3CB9A5CA"/>
    <w:rsid w:val="3DA51D75"/>
    <w:rsid w:val="3E950338"/>
    <w:rsid w:val="434837D2"/>
    <w:rsid w:val="4521E956"/>
    <w:rsid w:val="48469720"/>
    <w:rsid w:val="4930A61E"/>
    <w:rsid w:val="49E8ADAB"/>
    <w:rsid w:val="4A2F2AC8"/>
    <w:rsid w:val="4C1E95D0"/>
    <w:rsid w:val="4CA470D1"/>
    <w:rsid w:val="4D2ED16B"/>
    <w:rsid w:val="51B2BDE5"/>
    <w:rsid w:val="5453A1F0"/>
    <w:rsid w:val="5619267E"/>
    <w:rsid w:val="57E024C3"/>
    <w:rsid w:val="5BAAA3AB"/>
    <w:rsid w:val="5D272414"/>
    <w:rsid w:val="5DB5E620"/>
    <w:rsid w:val="5F948245"/>
    <w:rsid w:val="60F39C7C"/>
    <w:rsid w:val="615D300D"/>
    <w:rsid w:val="624D6BDB"/>
    <w:rsid w:val="62652773"/>
    <w:rsid w:val="62B81B43"/>
    <w:rsid w:val="62F42ECE"/>
    <w:rsid w:val="63E404F4"/>
    <w:rsid w:val="65B60F7A"/>
    <w:rsid w:val="66905A34"/>
    <w:rsid w:val="6B4566D8"/>
    <w:rsid w:val="6D4FC2A6"/>
    <w:rsid w:val="6D9008E6"/>
    <w:rsid w:val="71C67766"/>
    <w:rsid w:val="771F05BF"/>
    <w:rsid w:val="7C8D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1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4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4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52C"/>
    <w:rPr>
      <w:rFonts w:eastAsiaTheme="majorEastAsia" w:cstheme="majorBidi"/>
      <w:color w:val="272727" w:themeColor="text1" w:themeTint="D8"/>
    </w:rPr>
  </w:style>
  <w:style w:type="paragraph" w:styleId="Title">
    <w:name w:val="Title"/>
    <w:basedOn w:val="Normal"/>
    <w:next w:val="Normal"/>
    <w:link w:val="TitleChar"/>
    <w:uiPriority w:val="10"/>
    <w:qFormat/>
    <w:rsid w:val="008D4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52C"/>
    <w:pPr>
      <w:spacing w:before="160"/>
      <w:jc w:val="center"/>
    </w:pPr>
    <w:rPr>
      <w:i/>
      <w:iCs/>
      <w:color w:val="404040" w:themeColor="text1" w:themeTint="BF"/>
    </w:rPr>
  </w:style>
  <w:style w:type="character" w:customStyle="1" w:styleId="QuoteChar">
    <w:name w:val="Quote Char"/>
    <w:basedOn w:val="DefaultParagraphFont"/>
    <w:link w:val="Quote"/>
    <w:uiPriority w:val="29"/>
    <w:rsid w:val="008D452C"/>
    <w:rPr>
      <w:i/>
      <w:iCs/>
      <w:color w:val="404040" w:themeColor="text1" w:themeTint="BF"/>
    </w:rPr>
  </w:style>
  <w:style w:type="paragraph" w:styleId="ListParagraph">
    <w:name w:val="List Paragraph"/>
    <w:basedOn w:val="Normal"/>
    <w:uiPriority w:val="34"/>
    <w:qFormat/>
    <w:rsid w:val="008D452C"/>
    <w:pPr>
      <w:ind w:left="720"/>
      <w:contextualSpacing/>
    </w:pPr>
  </w:style>
  <w:style w:type="character" w:styleId="IntenseEmphasis">
    <w:name w:val="Intense Emphasis"/>
    <w:basedOn w:val="DefaultParagraphFont"/>
    <w:uiPriority w:val="21"/>
    <w:qFormat/>
    <w:rsid w:val="008D452C"/>
    <w:rPr>
      <w:i/>
      <w:iCs/>
      <w:color w:val="0F4761" w:themeColor="accent1" w:themeShade="BF"/>
    </w:rPr>
  </w:style>
  <w:style w:type="paragraph" w:styleId="IntenseQuote">
    <w:name w:val="Intense Quote"/>
    <w:basedOn w:val="Normal"/>
    <w:next w:val="Normal"/>
    <w:link w:val="IntenseQuoteChar"/>
    <w:uiPriority w:val="30"/>
    <w:qFormat/>
    <w:rsid w:val="008D4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52C"/>
    <w:rPr>
      <w:i/>
      <w:iCs/>
      <w:color w:val="0F4761" w:themeColor="accent1" w:themeShade="BF"/>
    </w:rPr>
  </w:style>
  <w:style w:type="character" w:styleId="IntenseReference">
    <w:name w:val="Intense Reference"/>
    <w:basedOn w:val="DefaultParagraphFont"/>
    <w:uiPriority w:val="32"/>
    <w:qFormat/>
    <w:rsid w:val="008D452C"/>
    <w:rPr>
      <w:b/>
      <w:bCs/>
      <w:smallCaps/>
      <w:color w:val="0F4761" w:themeColor="accent1" w:themeShade="BF"/>
      <w:spacing w:val="5"/>
    </w:rPr>
  </w:style>
  <w:style w:type="paragraph" w:styleId="NormalWeb">
    <w:name w:val="Normal (Web)"/>
    <w:basedOn w:val="Normal"/>
    <w:uiPriority w:val="99"/>
    <w:semiHidden/>
    <w:unhideWhenUsed/>
    <w:rsid w:val="008D45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D452C"/>
    <w:rPr>
      <w:b/>
      <w:bCs/>
    </w:rPr>
  </w:style>
  <w:style w:type="paragraph" w:styleId="Revision">
    <w:name w:val="Revision"/>
    <w:hidden/>
    <w:uiPriority w:val="99"/>
    <w:semiHidden/>
    <w:rsid w:val="00E9447D"/>
    <w:pPr>
      <w:spacing w:after="0" w:line="240" w:lineRule="auto"/>
    </w:pPr>
  </w:style>
  <w:style w:type="character" w:styleId="CommentReference">
    <w:name w:val="annotation reference"/>
    <w:basedOn w:val="DefaultParagraphFont"/>
    <w:uiPriority w:val="99"/>
    <w:semiHidden/>
    <w:unhideWhenUsed/>
    <w:rsid w:val="00A95FCD"/>
    <w:rPr>
      <w:sz w:val="16"/>
      <w:szCs w:val="16"/>
    </w:rPr>
  </w:style>
  <w:style w:type="paragraph" w:styleId="CommentText">
    <w:name w:val="annotation text"/>
    <w:basedOn w:val="Normal"/>
    <w:link w:val="CommentTextChar"/>
    <w:uiPriority w:val="99"/>
    <w:semiHidden/>
    <w:unhideWhenUsed/>
    <w:rsid w:val="00A95FCD"/>
    <w:pPr>
      <w:spacing w:line="240" w:lineRule="auto"/>
    </w:pPr>
    <w:rPr>
      <w:sz w:val="20"/>
      <w:szCs w:val="20"/>
    </w:rPr>
  </w:style>
  <w:style w:type="character" w:customStyle="1" w:styleId="CommentTextChar">
    <w:name w:val="Comment Text Char"/>
    <w:basedOn w:val="DefaultParagraphFont"/>
    <w:link w:val="CommentText"/>
    <w:uiPriority w:val="99"/>
    <w:semiHidden/>
    <w:rsid w:val="00A95FCD"/>
    <w:rPr>
      <w:sz w:val="20"/>
      <w:szCs w:val="20"/>
    </w:rPr>
  </w:style>
  <w:style w:type="paragraph" w:styleId="CommentSubject">
    <w:name w:val="annotation subject"/>
    <w:basedOn w:val="CommentText"/>
    <w:next w:val="CommentText"/>
    <w:link w:val="CommentSubjectChar"/>
    <w:uiPriority w:val="99"/>
    <w:semiHidden/>
    <w:unhideWhenUsed/>
    <w:rsid w:val="00A95FCD"/>
    <w:rPr>
      <w:b/>
      <w:bCs/>
    </w:rPr>
  </w:style>
  <w:style w:type="character" w:customStyle="1" w:styleId="CommentSubjectChar">
    <w:name w:val="Comment Subject Char"/>
    <w:basedOn w:val="CommentTextChar"/>
    <w:link w:val="CommentSubject"/>
    <w:uiPriority w:val="99"/>
    <w:semiHidden/>
    <w:rsid w:val="00A95FCD"/>
    <w:rPr>
      <w:b/>
      <w:bCs/>
      <w:sz w:val="20"/>
      <w:szCs w:val="20"/>
    </w:rPr>
  </w:style>
  <w:style w:type="paragraph" w:styleId="Header">
    <w:name w:val="header"/>
    <w:basedOn w:val="Normal"/>
    <w:link w:val="HeaderChar"/>
    <w:uiPriority w:val="99"/>
    <w:unhideWhenUsed/>
    <w:rsid w:val="00AF299C"/>
    <w:pPr>
      <w:tabs>
        <w:tab w:val="center" w:pos="4986"/>
        <w:tab w:val="right" w:pos="9972"/>
      </w:tabs>
      <w:spacing w:after="0" w:line="240" w:lineRule="auto"/>
    </w:pPr>
  </w:style>
  <w:style w:type="character" w:customStyle="1" w:styleId="HeaderChar">
    <w:name w:val="Header Char"/>
    <w:basedOn w:val="DefaultParagraphFont"/>
    <w:link w:val="Header"/>
    <w:uiPriority w:val="99"/>
    <w:rsid w:val="00AF299C"/>
  </w:style>
  <w:style w:type="paragraph" w:styleId="Footer">
    <w:name w:val="footer"/>
    <w:basedOn w:val="Normal"/>
    <w:link w:val="FooterChar"/>
    <w:uiPriority w:val="99"/>
    <w:unhideWhenUsed/>
    <w:rsid w:val="00AF299C"/>
    <w:pPr>
      <w:tabs>
        <w:tab w:val="center" w:pos="4986"/>
        <w:tab w:val="right" w:pos="9972"/>
      </w:tabs>
      <w:spacing w:after="0" w:line="240" w:lineRule="auto"/>
    </w:pPr>
  </w:style>
  <w:style w:type="character" w:customStyle="1" w:styleId="FooterChar">
    <w:name w:val="Footer Char"/>
    <w:basedOn w:val="DefaultParagraphFont"/>
    <w:link w:val="Footer"/>
    <w:uiPriority w:val="99"/>
    <w:rsid w:val="00AF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ilte.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2026-01-27T07:42:00Z</dcterms:created>
  <dcterms:modified xsi:type="dcterms:W3CDTF">2026-01-27T07:43:00Z</dcterms:modified>
</cp:coreProperties>
</file>