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83749" w14:textId="77777777" w:rsidR="00374434" w:rsidRDefault="00374434" w:rsidP="00374434">
      <w:pPr>
        <w:spacing w:after="0" w:line="240" w:lineRule="auto"/>
        <w:jc w:val="both"/>
        <w:rPr>
          <w:rFonts w:ascii="Calibri" w:eastAsia="Times New Roman" w:hAnsi="Calibri" w:cs="Calibri"/>
          <w:kern w:val="0"/>
          <w:sz w:val="18"/>
          <w:szCs w:val="18"/>
          <w:lang w:eastAsia="en-GB"/>
          <w14:ligatures w14:val="none"/>
        </w:rPr>
      </w:pPr>
      <w:r>
        <w:rPr>
          <w:rFonts w:ascii="Calibri" w:eastAsia="Times New Roman" w:hAnsi="Calibri" w:cs="Calibri"/>
          <w:kern w:val="0"/>
          <w:sz w:val="18"/>
          <w:szCs w:val="18"/>
          <w:lang w:eastAsia="en-GB"/>
          <w14:ligatures w14:val="none"/>
        </w:rPr>
        <w:t>Pranešimas žiniasklaidai</w:t>
      </w:r>
    </w:p>
    <w:p w14:paraId="229DE175" w14:textId="7C8E24C2" w:rsidR="00374434" w:rsidRDefault="00374434" w:rsidP="00374434">
      <w:pPr>
        <w:spacing w:after="0" w:line="240" w:lineRule="auto"/>
        <w:jc w:val="both"/>
        <w:rPr>
          <w:rFonts w:ascii="Calibri" w:eastAsia="Times New Roman" w:hAnsi="Calibri" w:cs="Calibri"/>
          <w:kern w:val="0"/>
          <w:sz w:val="18"/>
          <w:szCs w:val="18"/>
          <w:lang w:eastAsia="en-GB"/>
          <w14:ligatures w14:val="none"/>
        </w:rPr>
      </w:pPr>
      <w:r w:rsidRPr="00E36BC8">
        <w:rPr>
          <w:rFonts w:ascii="Calibri" w:eastAsia="Times New Roman" w:hAnsi="Calibri" w:cs="Calibri"/>
          <w:kern w:val="0"/>
          <w:sz w:val="18"/>
          <w:szCs w:val="18"/>
          <w:lang w:eastAsia="en-GB"/>
          <w14:ligatures w14:val="none"/>
        </w:rPr>
        <w:t>202</w:t>
      </w:r>
      <w:r>
        <w:rPr>
          <w:rFonts w:ascii="Calibri" w:eastAsia="Times New Roman" w:hAnsi="Calibri" w:cs="Calibri"/>
          <w:kern w:val="0"/>
          <w:sz w:val="18"/>
          <w:szCs w:val="18"/>
          <w:lang w:eastAsia="en-GB"/>
          <w14:ligatures w14:val="none"/>
        </w:rPr>
        <w:t>6</w:t>
      </w:r>
      <w:r w:rsidRPr="00E36BC8">
        <w:rPr>
          <w:rFonts w:ascii="Calibri" w:eastAsia="Times New Roman" w:hAnsi="Calibri" w:cs="Calibri"/>
          <w:kern w:val="0"/>
          <w:sz w:val="18"/>
          <w:szCs w:val="18"/>
          <w:lang w:eastAsia="en-GB"/>
          <w14:ligatures w14:val="none"/>
        </w:rPr>
        <w:t xml:space="preserve"> m.</w:t>
      </w:r>
      <w:r>
        <w:rPr>
          <w:rFonts w:ascii="Calibri" w:eastAsia="Times New Roman" w:hAnsi="Calibri" w:cs="Calibri"/>
          <w:kern w:val="0"/>
          <w:sz w:val="18"/>
          <w:szCs w:val="18"/>
          <w:lang w:eastAsia="en-GB"/>
          <w14:ligatures w14:val="none"/>
        </w:rPr>
        <w:t xml:space="preserve"> vasario 23 </w:t>
      </w:r>
      <w:r w:rsidRPr="00E36BC8">
        <w:rPr>
          <w:rFonts w:ascii="Calibri" w:eastAsia="Times New Roman" w:hAnsi="Calibri" w:cs="Calibri"/>
          <w:kern w:val="0"/>
          <w:sz w:val="18"/>
          <w:szCs w:val="18"/>
          <w:lang w:eastAsia="en-GB"/>
          <w14:ligatures w14:val="none"/>
        </w:rPr>
        <w:t>d.</w:t>
      </w:r>
    </w:p>
    <w:p w14:paraId="4CC31B91" w14:textId="77777777" w:rsidR="00374434" w:rsidRDefault="00374434" w:rsidP="00374434">
      <w:pPr>
        <w:spacing w:after="0" w:line="240" w:lineRule="auto"/>
        <w:jc w:val="both"/>
        <w:rPr>
          <w:rFonts w:ascii="Calibri" w:eastAsia="Times New Roman" w:hAnsi="Calibri" w:cs="Calibri"/>
          <w:kern w:val="0"/>
          <w:sz w:val="18"/>
          <w:szCs w:val="18"/>
          <w:lang w:eastAsia="en-GB"/>
          <w14:ligatures w14:val="none"/>
        </w:rPr>
      </w:pPr>
    </w:p>
    <w:p w14:paraId="361EA865" w14:textId="4762DE25" w:rsidR="00374434" w:rsidRDefault="00374434" w:rsidP="00374434">
      <w:pPr>
        <w:spacing w:after="0" w:line="240" w:lineRule="auto"/>
        <w:jc w:val="both"/>
        <w:rPr>
          <w:rFonts w:ascii="Calibri" w:eastAsia="Times New Roman" w:hAnsi="Calibri" w:cs="Calibri"/>
          <w:kern w:val="0"/>
          <w:sz w:val="18"/>
          <w:szCs w:val="18"/>
          <w:lang w:eastAsia="en-GB"/>
          <w14:ligatures w14:val="none"/>
        </w:rPr>
      </w:pPr>
      <w:r>
        <w:rPr>
          <w:rFonts w:ascii="Calibri" w:hAnsi="Calibri" w:cs="Calibri"/>
          <w:b/>
          <w:bCs/>
        </w:rPr>
        <w:t xml:space="preserve">Liko paskutinė savaitė </w:t>
      </w:r>
      <w:r w:rsidRPr="000A6FE3">
        <w:rPr>
          <w:rFonts w:ascii="Calibri" w:hAnsi="Calibri" w:cs="Calibri"/>
          <w:b/>
          <w:bCs/>
        </w:rPr>
        <w:t xml:space="preserve">išnaudoti </w:t>
      </w:r>
      <w:r w:rsidRPr="000A6FE3">
        <w:rPr>
          <w:rFonts w:ascii="Calibri" w:hAnsi="Calibri" w:cs="Calibri"/>
          <w:b/>
          <w:bCs/>
          <w:lang w:val="en-US"/>
        </w:rPr>
        <w:t xml:space="preserve">2025 metais </w:t>
      </w:r>
      <w:r w:rsidRPr="000A6FE3">
        <w:rPr>
          <w:rFonts w:ascii="Calibri" w:hAnsi="Calibri" w:cs="Calibri"/>
          <w:b/>
          <w:bCs/>
        </w:rPr>
        <w:t>sukauptus „Maximos“ pinigus</w:t>
      </w:r>
    </w:p>
    <w:p w14:paraId="59F407B0" w14:textId="77777777" w:rsidR="00374434" w:rsidRPr="00244571" w:rsidRDefault="00374434" w:rsidP="00374434">
      <w:pPr>
        <w:spacing w:after="0" w:line="240" w:lineRule="auto"/>
        <w:jc w:val="both"/>
        <w:rPr>
          <w:rFonts w:ascii="Calibri" w:eastAsia="Times New Roman" w:hAnsi="Calibri" w:cs="Calibri"/>
          <w:b/>
          <w:bCs/>
          <w:kern w:val="0"/>
          <w:sz w:val="18"/>
          <w:szCs w:val="18"/>
          <w:lang w:eastAsia="en-GB"/>
          <w14:ligatures w14:val="none"/>
        </w:rPr>
      </w:pPr>
    </w:p>
    <w:p w14:paraId="3D573547" w14:textId="01C45C8A" w:rsidR="00897E13" w:rsidRDefault="007A349C" w:rsidP="00374434">
      <w:pPr>
        <w:jc w:val="both"/>
        <w:rPr>
          <w:rFonts w:ascii="Calibri" w:hAnsi="Calibri" w:cs="Calibri"/>
          <w:b/>
          <w:bCs/>
        </w:rPr>
      </w:pPr>
      <w:r w:rsidRPr="00244571">
        <w:rPr>
          <w:rFonts w:ascii="Calibri" w:hAnsi="Calibri" w:cs="Calibri"/>
          <w:b/>
          <w:bCs/>
        </w:rPr>
        <w:t xml:space="preserve">Lietuviškas prekybos tinklas „Maxima“ </w:t>
      </w:r>
      <w:r w:rsidR="00374434" w:rsidRPr="00244571">
        <w:rPr>
          <w:rFonts w:ascii="Calibri" w:hAnsi="Calibri" w:cs="Calibri"/>
          <w:b/>
          <w:bCs/>
        </w:rPr>
        <w:t>pabrėžia, kad per 2025 metus</w:t>
      </w:r>
      <w:r w:rsidR="00650398" w:rsidRPr="00244571">
        <w:rPr>
          <w:rFonts w:ascii="Calibri" w:hAnsi="Calibri" w:cs="Calibri"/>
          <w:b/>
          <w:bCs/>
        </w:rPr>
        <w:t xml:space="preserve"> „Ačiū“</w:t>
      </w:r>
      <w:r w:rsidR="00374434" w:rsidRPr="00244571">
        <w:rPr>
          <w:rFonts w:ascii="Calibri" w:hAnsi="Calibri" w:cs="Calibri"/>
          <w:b/>
          <w:bCs/>
        </w:rPr>
        <w:t xml:space="preserve"> lojalumo kortelėje sukaupti pinigai galioja dar šią savaitę – iki vasario 28 dienos. Nuo kalendorinio pavasario jie anuliuosis ir bus kaupiami iš naujo.</w:t>
      </w:r>
      <w:r w:rsidR="00244571" w:rsidRPr="00244571">
        <w:rPr>
          <w:rFonts w:ascii="Calibri" w:hAnsi="Calibri" w:cs="Calibri"/>
          <w:b/>
          <w:bCs/>
        </w:rPr>
        <w:t xml:space="preserve"> </w:t>
      </w:r>
      <w:r w:rsidR="00244571" w:rsidRPr="00244571">
        <w:rPr>
          <w:rFonts w:ascii="Calibri" w:hAnsi="Calibri" w:cs="Calibri"/>
          <w:b/>
          <w:bCs/>
        </w:rPr>
        <w:t>Nuo šių metų pradėti kaupti virtualūs pinigai atitinkamai galioja iki 2027 m. vasario 28 dienos</w:t>
      </w:r>
      <w:r w:rsidR="00244571">
        <w:rPr>
          <w:rFonts w:ascii="Calibri" w:hAnsi="Calibri" w:cs="Calibri"/>
          <w:b/>
          <w:bCs/>
        </w:rPr>
        <w:t>.</w:t>
      </w:r>
    </w:p>
    <w:p w14:paraId="1758D3B0" w14:textId="0ADA9894" w:rsidR="00374434" w:rsidRDefault="00A96162" w:rsidP="00374434">
      <w:pPr>
        <w:jc w:val="both"/>
        <w:rPr>
          <w:rFonts w:ascii="Calibri" w:hAnsi="Calibri" w:cs="Calibri"/>
        </w:rPr>
      </w:pPr>
      <w:r w:rsidRPr="00A96162">
        <w:rPr>
          <w:rFonts w:ascii="Calibri" w:hAnsi="Calibri" w:cs="Calibri"/>
        </w:rPr>
        <w:t xml:space="preserve">Prekybos tinko </w:t>
      </w:r>
      <w:r w:rsidR="00650398" w:rsidRPr="00A96162">
        <w:rPr>
          <w:rFonts w:ascii="Calibri" w:hAnsi="Calibri" w:cs="Calibri"/>
        </w:rPr>
        <w:t>„Maxim</w:t>
      </w:r>
      <w:r w:rsidRPr="00A96162">
        <w:rPr>
          <w:rFonts w:ascii="Calibri" w:hAnsi="Calibri" w:cs="Calibri"/>
        </w:rPr>
        <w:t>a</w:t>
      </w:r>
      <w:r w:rsidR="00650398" w:rsidRPr="00A96162">
        <w:rPr>
          <w:rFonts w:ascii="Calibri" w:hAnsi="Calibri" w:cs="Calibri"/>
        </w:rPr>
        <w:t xml:space="preserve">“ atstovas ryšiams su žiniasklaida, </w:t>
      </w:r>
      <w:r w:rsidR="00374434" w:rsidRPr="00A96162">
        <w:rPr>
          <w:rFonts w:ascii="Calibri" w:hAnsi="Calibri" w:cs="Calibri"/>
        </w:rPr>
        <w:t>Titas Atraškevičius, dalijasi, kad</w:t>
      </w:r>
      <w:r w:rsidR="00650398" w:rsidRPr="00A96162">
        <w:rPr>
          <w:rFonts w:ascii="Calibri" w:hAnsi="Calibri" w:cs="Calibri"/>
        </w:rPr>
        <w:t xml:space="preserve"> lojalumo kortelės „Ačiū“ turėtojų yra kiek daugiau nei 1,9 mln. </w:t>
      </w:r>
      <w:r w:rsidRPr="00A96162">
        <w:rPr>
          <w:rFonts w:ascii="Calibri" w:hAnsi="Calibri" w:cs="Calibri"/>
        </w:rPr>
        <w:t>ir t</w:t>
      </w:r>
      <w:r w:rsidR="00650398" w:rsidRPr="00A96162">
        <w:rPr>
          <w:rFonts w:ascii="Calibri" w:hAnsi="Calibri" w:cs="Calibri"/>
        </w:rPr>
        <w:t>ai bene plačiausiai naudojama lojalumo kortelė Lietuvoje</w:t>
      </w:r>
      <w:r w:rsidRPr="00A96162">
        <w:rPr>
          <w:rFonts w:ascii="Calibri" w:hAnsi="Calibri" w:cs="Calibri"/>
        </w:rPr>
        <w:t>.</w:t>
      </w:r>
      <w:r w:rsidR="00650398" w:rsidRPr="00A96162">
        <w:rPr>
          <w:rFonts w:ascii="Calibri" w:hAnsi="Calibri" w:cs="Calibri"/>
        </w:rPr>
        <w:t xml:space="preserve"> </w:t>
      </w:r>
    </w:p>
    <w:p w14:paraId="7FC8AAA4" w14:textId="77777777" w:rsidR="00374434" w:rsidRDefault="00374434" w:rsidP="00374434">
      <w:pPr>
        <w:jc w:val="both"/>
        <w:rPr>
          <w:rFonts w:ascii="Calibri" w:hAnsi="Calibri" w:cs="Calibri"/>
        </w:rPr>
      </w:pPr>
      <w:r>
        <w:rPr>
          <w:rFonts w:ascii="Calibri" w:hAnsi="Calibri" w:cs="Calibri"/>
        </w:rPr>
        <w:t>„Ačiū“ l</w:t>
      </w:r>
      <w:r w:rsidRPr="002D2C06">
        <w:rPr>
          <w:rFonts w:ascii="Calibri" w:hAnsi="Calibri" w:cs="Calibri"/>
        </w:rPr>
        <w:t xml:space="preserve">ojalumo taškai </w:t>
      </w:r>
      <w:r>
        <w:rPr>
          <w:rFonts w:ascii="Calibri" w:hAnsi="Calibri" w:cs="Calibri"/>
        </w:rPr>
        <w:t>–</w:t>
      </w:r>
      <w:r w:rsidRPr="002D2C06">
        <w:rPr>
          <w:rFonts w:ascii="Calibri" w:hAnsi="Calibri" w:cs="Calibri"/>
        </w:rPr>
        <w:t xml:space="preserve"> reali</w:t>
      </w:r>
      <w:r>
        <w:rPr>
          <w:rFonts w:ascii="Calibri" w:hAnsi="Calibri" w:cs="Calibri"/>
        </w:rPr>
        <w:t xml:space="preserve"> </w:t>
      </w:r>
      <w:r w:rsidRPr="002D2C06">
        <w:rPr>
          <w:rFonts w:ascii="Calibri" w:hAnsi="Calibri" w:cs="Calibri"/>
        </w:rPr>
        <w:t>finansin</w:t>
      </w:r>
      <w:r>
        <w:rPr>
          <w:rFonts w:ascii="Calibri" w:hAnsi="Calibri" w:cs="Calibri"/>
        </w:rPr>
        <w:t xml:space="preserve">ė </w:t>
      </w:r>
      <w:r w:rsidRPr="002D2C06">
        <w:rPr>
          <w:rFonts w:ascii="Calibri" w:hAnsi="Calibri" w:cs="Calibri"/>
        </w:rPr>
        <w:t xml:space="preserve">nauda </w:t>
      </w:r>
      <w:r>
        <w:rPr>
          <w:rFonts w:ascii="Calibri" w:hAnsi="Calibri" w:cs="Calibri"/>
        </w:rPr>
        <w:t>mūsų pirkėjams.</w:t>
      </w:r>
      <w:r w:rsidRPr="002D2C06">
        <w:rPr>
          <w:rFonts w:ascii="Calibri" w:hAnsi="Calibri" w:cs="Calibri"/>
        </w:rPr>
        <w:t xml:space="preserve"> Kiekvieną mėnesį „Ačiū“ kortelės turėtojams pervedama 1,8 mln. eurų „Maximos“ pinigų</w:t>
      </w:r>
      <w:r>
        <w:rPr>
          <w:rFonts w:ascii="Calibri" w:hAnsi="Calibri" w:cs="Calibri"/>
        </w:rPr>
        <w:t xml:space="preserve">, kurių </w:t>
      </w:r>
      <w:r w:rsidRPr="005F5953">
        <w:rPr>
          <w:rFonts w:ascii="Calibri" w:hAnsi="Calibri" w:cs="Calibri"/>
        </w:rPr>
        <w:t xml:space="preserve">1 proc. pirkėjams </w:t>
      </w:r>
      <w:r>
        <w:rPr>
          <w:rFonts w:ascii="Calibri" w:hAnsi="Calibri" w:cs="Calibri"/>
        </w:rPr>
        <w:t>grįžta kiekvieno apsipirkimo metu</w:t>
      </w:r>
      <w:r w:rsidRPr="00F8472D">
        <w:rPr>
          <w:rFonts w:ascii="Calibri" w:hAnsi="Calibri" w:cs="Calibri"/>
        </w:rPr>
        <w:t xml:space="preserve"> nuo sumokėtos sumos. </w:t>
      </w:r>
      <w:r>
        <w:rPr>
          <w:rFonts w:ascii="Calibri" w:hAnsi="Calibri" w:cs="Calibri"/>
        </w:rPr>
        <w:t>Ši s</w:t>
      </w:r>
      <w:r w:rsidRPr="00F8472D">
        <w:rPr>
          <w:rFonts w:ascii="Calibri" w:hAnsi="Calibri" w:cs="Calibri"/>
        </w:rPr>
        <w:t>ukaupta vertė gali būti panaudojama kitų apsipirkimų metu, padengiant net iki 99 proc. bendros sumos</w:t>
      </w:r>
      <w:r>
        <w:rPr>
          <w:rFonts w:ascii="Calibri" w:hAnsi="Calibri" w:cs="Calibri"/>
        </w:rPr>
        <w:t xml:space="preserve"> ir taip išleidžiant mažiau“, – sako T. </w:t>
      </w:r>
      <w:r w:rsidRPr="00F8472D">
        <w:rPr>
          <w:rFonts w:ascii="Calibri" w:hAnsi="Calibri" w:cs="Calibri"/>
        </w:rPr>
        <w:t>Atraškevičius</w:t>
      </w:r>
      <w:r>
        <w:rPr>
          <w:rFonts w:ascii="Calibri" w:hAnsi="Calibri" w:cs="Calibri"/>
        </w:rPr>
        <w:t xml:space="preserve"> ir priduria, kad kasdien „Ačiū“ kortele pasinaudoja per </w:t>
      </w:r>
      <w:r w:rsidRPr="005F5953">
        <w:rPr>
          <w:rFonts w:ascii="Calibri" w:hAnsi="Calibri" w:cs="Calibri"/>
        </w:rPr>
        <w:t>300</w:t>
      </w:r>
      <w:r>
        <w:rPr>
          <w:rFonts w:ascii="Calibri" w:hAnsi="Calibri" w:cs="Calibri"/>
        </w:rPr>
        <w:t xml:space="preserve"> tūkst. „Maximos“ pirkėjų.</w:t>
      </w:r>
    </w:p>
    <w:p w14:paraId="0BA37926" w14:textId="77777777" w:rsidR="00374434" w:rsidRPr="009A4122" w:rsidRDefault="00374434" w:rsidP="00374434">
      <w:pPr>
        <w:jc w:val="both"/>
        <w:rPr>
          <w:rFonts w:ascii="Calibri" w:hAnsi="Calibri" w:cs="Calibri"/>
        </w:rPr>
      </w:pPr>
      <w:r w:rsidRPr="00F8472D">
        <w:rPr>
          <w:rFonts w:ascii="Calibri" w:hAnsi="Calibri" w:cs="Calibri"/>
        </w:rPr>
        <w:t xml:space="preserve">Pasitikrinti, koks lojalumo taškų likutis yra sukauptas einamuoju periodu, galima asmeninėje „Ačiū“ paskyroje bei išmanioje „Maximos“ programėlėje, taip pat apsipirkimo kvite. Šią informaciją gali suteikti ir kasininkas. </w:t>
      </w:r>
    </w:p>
    <w:p w14:paraId="3B34C495" w14:textId="77777777" w:rsidR="00374434" w:rsidRPr="0049396A" w:rsidRDefault="00374434" w:rsidP="00374434">
      <w:pPr>
        <w:jc w:val="both"/>
        <w:rPr>
          <w:rFonts w:ascii="Calibri" w:hAnsi="Calibri" w:cs="Calibri"/>
        </w:rPr>
      </w:pPr>
      <w:r w:rsidRPr="00F8472D">
        <w:rPr>
          <w:rFonts w:ascii="Calibri" w:hAnsi="Calibri" w:cs="Calibri"/>
        </w:rPr>
        <w:t xml:space="preserve">„Skaičiuojame, kad skaitmenine kortele naudojasi apie trečdalis visų „Maximos“ lojalumo kortelės turėtojų. </w:t>
      </w:r>
      <w:r>
        <w:rPr>
          <w:rFonts w:ascii="Calibri" w:hAnsi="Calibri" w:cs="Calibri"/>
        </w:rPr>
        <w:t xml:space="preserve">Išmanioje </w:t>
      </w:r>
      <w:r w:rsidRPr="00F8472D">
        <w:rPr>
          <w:rFonts w:ascii="Calibri" w:hAnsi="Calibri" w:cs="Calibri"/>
        </w:rPr>
        <w:t>„Maximos“ programėlėje</w:t>
      </w:r>
      <w:r>
        <w:rPr>
          <w:rFonts w:ascii="Calibri" w:hAnsi="Calibri" w:cs="Calibri"/>
        </w:rPr>
        <w:t xml:space="preserve"> </w:t>
      </w:r>
      <w:r w:rsidRPr="00F8472D">
        <w:rPr>
          <w:rFonts w:ascii="Calibri" w:hAnsi="Calibri" w:cs="Calibri"/>
        </w:rPr>
        <w:t>„Ačiū“ kortele besinaudojantys pirkėjai dažnai tuo pačiu naudojasi galimybe už priduotą tarą gautą sumą persivesti tiesiai į savo lojalumo kortelę, ieško artimiausios parduotuvės ir jos darbo laiko, palieka atsiliepimą apie įsigytą prekę, užduoda klausimus, naudojasi „Scan&amp;Go“ paslauga ar pateikia pasiūlymus“, – pažymi „Maximos“ atstovas.</w:t>
      </w:r>
    </w:p>
    <w:p w14:paraId="726649B0" w14:textId="77777777" w:rsidR="00374434" w:rsidRDefault="00374434" w:rsidP="00374434">
      <w:pPr>
        <w:jc w:val="both"/>
        <w:rPr>
          <w:rFonts w:ascii="Calibri" w:hAnsi="Calibri" w:cs="Calibri"/>
        </w:rPr>
      </w:pPr>
      <w:r w:rsidRPr="00F8472D">
        <w:rPr>
          <w:rFonts w:ascii="Calibri" w:hAnsi="Calibri" w:cs="Calibri"/>
        </w:rPr>
        <w:t>T. Atraškevičius akcentuoja, kad išsikeitus taromato kvito sumą į „Ačiū“ lojalumo taškus – jie</w:t>
      </w:r>
      <w:r>
        <w:rPr>
          <w:rFonts w:ascii="Calibri" w:hAnsi="Calibri" w:cs="Calibri"/>
        </w:rPr>
        <w:t xml:space="preserve">ms </w:t>
      </w:r>
      <w:r w:rsidRPr="00F8472D">
        <w:rPr>
          <w:rFonts w:ascii="Calibri" w:hAnsi="Calibri" w:cs="Calibri"/>
        </w:rPr>
        <w:t xml:space="preserve">automatiškai galioja tos pačios lojalumo programos sąlygos. Nors taromato kvitai ir neturi galiojimo termino, </w:t>
      </w:r>
      <w:r>
        <w:rPr>
          <w:rFonts w:ascii="Calibri" w:hAnsi="Calibri" w:cs="Calibri"/>
        </w:rPr>
        <w:t>„Maximos“</w:t>
      </w:r>
      <w:r w:rsidRPr="00F8472D">
        <w:rPr>
          <w:rFonts w:ascii="Calibri" w:hAnsi="Calibri" w:cs="Calibri"/>
        </w:rPr>
        <w:t xml:space="preserve"> atstovas ragina pernelyg nedelsti </w:t>
      </w:r>
      <w:r>
        <w:rPr>
          <w:rFonts w:ascii="Calibri" w:hAnsi="Calibri" w:cs="Calibri"/>
        </w:rPr>
        <w:t xml:space="preserve">ir </w:t>
      </w:r>
      <w:r w:rsidRPr="00F8472D">
        <w:rPr>
          <w:rFonts w:ascii="Calibri" w:hAnsi="Calibri" w:cs="Calibri"/>
        </w:rPr>
        <w:t>pasinaudoti jais</w:t>
      </w:r>
      <w:r>
        <w:rPr>
          <w:rFonts w:ascii="Calibri" w:hAnsi="Calibri" w:cs="Calibri"/>
        </w:rPr>
        <w:t xml:space="preserve"> – </w:t>
      </w:r>
      <w:r w:rsidRPr="00F8472D">
        <w:rPr>
          <w:rFonts w:ascii="Calibri" w:hAnsi="Calibri" w:cs="Calibri"/>
        </w:rPr>
        <w:t xml:space="preserve">bėgant laikui kvitai gali išblukti. </w:t>
      </w:r>
    </w:p>
    <w:p w14:paraId="5BEB9235" w14:textId="77777777" w:rsidR="0012594D" w:rsidRDefault="0012594D" w:rsidP="00374434">
      <w:pPr>
        <w:jc w:val="both"/>
        <w:rPr>
          <w:rFonts w:ascii="Calibri" w:hAnsi="Calibri" w:cs="Calibri"/>
          <w:b/>
          <w:bCs/>
          <w:i/>
          <w:iCs/>
          <w:sz w:val="16"/>
          <w:szCs w:val="16"/>
        </w:rPr>
      </w:pPr>
    </w:p>
    <w:p w14:paraId="48D2AE9A" w14:textId="1F9178EF" w:rsidR="00374434" w:rsidRPr="000853BA" w:rsidRDefault="00374434" w:rsidP="00374434">
      <w:pPr>
        <w:jc w:val="both"/>
        <w:rPr>
          <w:rFonts w:ascii="Calibri" w:hAnsi="Calibri" w:cs="Calibri"/>
        </w:rPr>
      </w:pPr>
      <w:r w:rsidRPr="00511800">
        <w:rPr>
          <w:rFonts w:ascii="Calibri" w:hAnsi="Calibri" w:cs="Calibri"/>
          <w:b/>
          <w:bCs/>
          <w:i/>
          <w:iCs/>
          <w:sz w:val="16"/>
          <w:szCs w:val="16"/>
        </w:rPr>
        <w:t>Apie prekybos tinklą „Maxima“</w:t>
      </w:r>
    </w:p>
    <w:p w14:paraId="558124AF" w14:textId="77777777" w:rsidR="00374434" w:rsidRPr="00511800" w:rsidRDefault="00374434" w:rsidP="00374434">
      <w:pPr>
        <w:jc w:val="both"/>
        <w:rPr>
          <w:rFonts w:ascii="Calibri" w:hAnsi="Calibri" w:cs="Calibri"/>
          <w:i/>
          <w:iCs/>
          <w:sz w:val="16"/>
          <w:szCs w:val="16"/>
        </w:rPr>
      </w:pPr>
      <w:r>
        <w:rPr>
          <w:rFonts w:ascii="Calibri" w:hAnsi="Calibri" w:cs="Calibri"/>
          <w:i/>
          <w:iCs/>
          <w:sz w:val="16"/>
          <w:szCs w:val="16"/>
        </w:rPr>
        <w:t>L</w:t>
      </w:r>
      <w:r w:rsidRPr="00511800">
        <w:rPr>
          <w:rFonts w:ascii="Calibri" w:hAnsi="Calibri" w:cs="Calibri"/>
          <w:i/>
          <w:iCs/>
          <w:sz w:val="16"/>
          <w:szCs w:val="16"/>
        </w:rPr>
        <w:t>ietuviško prekybos tinklo „Maxima“ stiprybės – mažos kainos ir kruopščiai atrinktas asortimentas. Tinklą valdanti bendrovė „Maxima LT“ yra didžiausia lietuviško kapitalo įmonė, viena didžiausių mokesčių mokėtojų bei didžiausia darbo vietų kūrėja šalyje. Šiuo metu Lietuvoje veikia arti pustrečio šimto „Maximos“ parduotuvių, kuriose dirba apie 11 tūkst. darbuotojų ir kasdien apsilanko daugiau nei 400 tūkst. klientų. </w:t>
      </w:r>
    </w:p>
    <w:p w14:paraId="56692623" w14:textId="77777777" w:rsidR="00374434" w:rsidRPr="00511800" w:rsidRDefault="00374434" w:rsidP="00374434">
      <w:pPr>
        <w:jc w:val="both"/>
        <w:rPr>
          <w:rFonts w:ascii="Calibri" w:hAnsi="Calibri" w:cs="Calibri"/>
          <w:sz w:val="16"/>
          <w:szCs w:val="16"/>
        </w:rPr>
      </w:pPr>
      <w:r w:rsidRPr="00511800">
        <w:rPr>
          <w:rFonts w:ascii="Calibri" w:hAnsi="Calibri" w:cs="Calibri"/>
          <w:b/>
          <w:bCs/>
          <w:sz w:val="16"/>
          <w:szCs w:val="16"/>
        </w:rPr>
        <w:t>Daugiau informacijos</w:t>
      </w:r>
      <w:r w:rsidRPr="00511800">
        <w:rPr>
          <w:rFonts w:ascii="Calibri" w:hAnsi="Calibri" w:cs="Calibri"/>
          <w:sz w:val="16"/>
          <w:szCs w:val="16"/>
        </w:rPr>
        <w:t>:</w:t>
      </w:r>
    </w:p>
    <w:p w14:paraId="1AE90161" w14:textId="77777777" w:rsidR="00374434" w:rsidRPr="00DA0AAF" w:rsidRDefault="00374434" w:rsidP="00374434">
      <w:pPr>
        <w:jc w:val="both"/>
        <w:rPr>
          <w:rFonts w:ascii="Calibri" w:hAnsi="Calibri" w:cs="Calibri"/>
          <w:sz w:val="16"/>
          <w:szCs w:val="16"/>
          <w:u w:val="single"/>
        </w:rPr>
      </w:pPr>
      <w:r w:rsidRPr="00511800">
        <w:rPr>
          <w:rFonts w:ascii="Calibri" w:hAnsi="Calibri" w:cs="Calibri"/>
          <w:sz w:val="16"/>
          <w:szCs w:val="16"/>
        </w:rPr>
        <w:t>El. paštas</w:t>
      </w:r>
      <w:r w:rsidRPr="00511800">
        <w:rPr>
          <w:rFonts w:ascii="Calibri" w:hAnsi="Calibri" w:cs="Calibri"/>
          <w:sz w:val="16"/>
          <w:szCs w:val="16"/>
          <w:u w:val="single"/>
        </w:rPr>
        <w:t xml:space="preserve"> </w:t>
      </w:r>
      <w:hyperlink r:id="rId6" w:history="1">
        <w:r w:rsidRPr="00511800">
          <w:rPr>
            <w:rStyle w:val="Hyperlink"/>
            <w:rFonts w:ascii="Calibri" w:hAnsi="Calibri" w:cs="Calibri"/>
            <w:sz w:val="16"/>
            <w:szCs w:val="16"/>
          </w:rPr>
          <w:t>komunikacija@maxima.lt</w:t>
        </w:r>
      </w:hyperlink>
    </w:p>
    <w:p w14:paraId="54429628" w14:textId="77777777" w:rsidR="00374434" w:rsidRPr="00057CA0" w:rsidRDefault="00374434" w:rsidP="00374434">
      <w:pPr>
        <w:jc w:val="both"/>
        <w:rPr>
          <w:rFonts w:ascii="Calibri" w:hAnsi="Calibri" w:cs="Calibri"/>
          <w:lang w:val="en-US"/>
        </w:rPr>
      </w:pPr>
    </w:p>
    <w:p w14:paraId="1AED23EE" w14:textId="77777777" w:rsidR="00374434" w:rsidRDefault="00374434" w:rsidP="00374434">
      <w:pPr>
        <w:jc w:val="both"/>
        <w:rPr>
          <w:rFonts w:ascii="Calibri" w:hAnsi="Calibri" w:cs="Calibri"/>
        </w:rPr>
      </w:pPr>
    </w:p>
    <w:p w14:paraId="1098D037" w14:textId="77777777" w:rsidR="00374434" w:rsidRPr="000A6FE3" w:rsidRDefault="00374434" w:rsidP="00374434">
      <w:pPr>
        <w:jc w:val="both"/>
        <w:rPr>
          <w:rFonts w:ascii="Calibri" w:hAnsi="Calibri" w:cs="Calibri"/>
          <w:b/>
          <w:bCs/>
        </w:rPr>
      </w:pPr>
    </w:p>
    <w:p w14:paraId="52E88BC9" w14:textId="77777777" w:rsidR="00374434" w:rsidRDefault="00374434"/>
    <w:sectPr w:rsidR="00374434">
      <w:head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DB2A9" w14:textId="77777777" w:rsidR="000154EF" w:rsidRDefault="000154EF" w:rsidP="00374434">
      <w:pPr>
        <w:spacing w:after="0" w:line="240" w:lineRule="auto"/>
      </w:pPr>
      <w:r>
        <w:separator/>
      </w:r>
    </w:p>
  </w:endnote>
  <w:endnote w:type="continuationSeparator" w:id="0">
    <w:p w14:paraId="270760A4" w14:textId="77777777" w:rsidR="000154EF" w:rsidRDefault="000154EF" w:rsidP="003744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328FA" w14:textId="77777777" w:rsidR="000154EF" w:rsidRDefault="000154EF" w:rsidP="00374434">
      <w:pPr>
        <w:spacing w:after="0" w:line="240" w:lineRule="auto"/>
      </w:pPr>
      <w:r>
        <w:separator/>
      </w:r>
    </w:p>
  </w:footnote>
  <w:footnote w:type="continuationSeparator" w:id="0">
    <w:p w14:paraId="5B76CDB1" w14:textId="77777777" w:rsidR="000154EF" w:rsidRDefault="000154EF" w:rsidP="003744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403EC" w14:textId="389158CC" w:rsidR="00374434" w:rsidRDefault="00374434">
    <w:pPr>
      <w:pStyle w:val="Header"/>
    </w:pPr>
    <w:r>
      <w:rPr>
        <w:noProof/>
      </w:rPr>
      <w:drawing>
        <wp:inline distT="0" distB="0" distL="0" distR="0" wp14:anchorId="3B086DC4" wp14:editId="4D67C202">
          <wp:extent cx="1629126" cy="355600"/>
          <wp:effectExtent l="0" t="0" r="9525" b="6350"/>
          <wp:docPr id="14219560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160" cy="355826"/>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434"/>
    <w:rsid w:val="000154EF"/>
    <w:rsid w:val="00051831"/>
    <w:rsid w:val="00057CA0"/>
    <w:rsid w:val="000853BA"/>
    <w:rsid w:val="0012594D"/>
    <w:rsid w:val="00244571"/>
    <w:rsid w:val="00374434"/>
    <w:rsid w:val="003F6954"/>
    <w:rsid w:val="00650398"/>
    <w:rsid w:val="007A16A9"/>
    <w:rsid w:val="007A349C"/>
    <w:rsid w:val="00897E13"/>
    <w:rsid w:val="00A96162"/>
    <w:rsid w:val="00B26F31"/>
    <w:rsid w:val="00B95F12"/>
    <w:rsid w:val="00CA76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DE4DF"/>
  <w15:chartTrackingRefBased/>
  <w15:docId w15:val="{A21C4229-211E-49A6-B078-0BBDD1354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434"/>
    <w:pPr>
      <w:spacing w:line="259" w:lineRule="auto"/>
    </w:pPr>
    <w:rPr>
      <w:sz w:val="22"/>
      <w:szCs w:val="22"/>
    </w:rPr>
  </w:style>
  <w:style w:type="paragraph" w:styleId="Heading1">
    <w:name w:val="heading 1"/>
    <w:basedOn w:val="Normal"/>
    <w:next w:val="Normal"/>
    <w:link w:val="Heading1Char"/>
    <w:uiPriority w:val="9"/>
    <w:qFormat/>
    <w:rsid w:val="00374434"/>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4434"/>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4434"/>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4434"/>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374434"/>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374434"/>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374434"/>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374434"/>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374434"/>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4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44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44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44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44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44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44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44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4434"/>
    <w:rPr>
      <w:rFonts w:eastAsiaTheme="majorEastAsia" w:cstheme="majorBidi"/>
      <w:color w:val="272727" w:themeColor="text1" w:themeTint="D8"/>
    </w:rPr>
  </w:style>
  <w:style w:type="paragraph" w:styleId="Title">
    <w:name w:val="Title"/>
    <w:basedOn w:val="Normal"/>
    <w:next w:val="Normal"/>
    <w:link w:val="TitleChar"/>
    <w:uiPriority w:val="10"/>
    <w:qFormat/>
    <w:rsid w:val="003744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44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4434"/>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44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4434"/>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374434"/>
    <w:rPr>
      <w:i/>
      <w:iCs/>
      <w:color w:val="404040" w:themeColor="text1" w:themeTint="BF"/>
    </w:rPr>
  </w:style>
  <w:style w:type="paragraph" w:styleId="ListParagraph">
    <w:name w:val="List Paragraph"/>
    <w:basedOn w:val="Normal"/>
    <w:uiPriority w:val="34"/>
    <w:qFormat/>
    <w:rsid w:val="00374434"/>
    <w:pPr>
      <w:spacing w:line="278" w:lineRule="auto"/>
      <w:ind w:left="720"/>
      <w:contextualSpacing/>
    </w:pPr>
    <w:rPr>
      <w:sz w:val="24"/>
      <w:szCs w:val="24"/>
    </w:rPr>
  </w:style>
  <w:style w:type="character" w:styleId="IntenseEmphasis">
    <w:name w:val="Intense Emphasis"/>
    <w:basedOn w:val="DefaultParagraphFont"/>
    <w:uiPriority w:val="21"/>
    <w:qFormat/>
    <w:rsid w:val="00374434"/>
    <w:rPr>
      <w:i/>
      <w:iCs/>
      <w:color w:val="0F4761" w:themeColor="accent1" w:themeShade="BF"/>
    </w:rPr>
  </w:style>
  <w:style w:type="paragraph" w:styleId="IntenseQuote">
    <w:name w:val="Intense Quote"/>
    <w:basedOn w:val="Normal"/>
    <w:next w:val="Normal"/>
    <w:link w:val="IntenseQuoteChar"/>
    <w:uiPriority w:val="30"/>
    <w:qFormat/>
    <w:rsid w:val="00374434"/>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374434"/>
    <w:rPr>
      <w:i/>
      <w:iCs/>
      <w:color w:val="0F4761" w:themeColor="accent1" w:themeShade="BF"/>
    </w:rPr>
  </w:style>
  <w:style w:type="character" w:styleId="IntenseReference">
    <w:name w:val="Intense Reference"/>
    <w:basedOn w:val="DefaultParagraphFont"/>
    <w:uiPriority w:val="32"/>
    <w:qFormat/>
    <w:rsid w:val="00374434"/>
    <w:rPr>
      <w:b/>
      <w:bCs/>
      <w:smallCaps/>
      <w:color w:val="0F4761" w:themeColor="accent1" w:themeShade="BF"/>
      <w:spacing w:val="5"/>
    </w:rPr>
  </w:style>
  <w:style w:type="paragraph" w:styleId="Header">
    <w:name w:val="header"/>
    <w:basedOn w:val="Normal"/>
    <w:link w:val="HeaderChar"/>
    <w:uiPriority w:val="99"/>
    <w:unhideWhenUsed/>
    <w:rsid w:val="00374434"/>
    <w:pPr>
      <w:tabs>
        <w:tab w:val="center" w:pos="4819"/>
        <w:tab w:val="right" w:pos="9638"/>
      </w:tabs>
      <w:spacing w:after="0" w:line="240" w:lineRule="auto"/>
    </w:pPr>
    <w:rPr>
      <w:sz w:val="24"/>
      <w:szCs w:val="24"/>
    </w:rPr>
  </w:style>
  <w:style w:type="character" w:customStyle="1" w:styleId="HeaderChar">
    <w:name w:val="Header Char"/>
    <w:basedOn w:val="DefaultParagraphFont"/>
    <w:link w:val="Header"/>
    <w:uiPriority w:val="99"/>
    <w:rsid w:val="00374434"/>
  </w:style>
  <w:style w:type="paragraph" w:styleId="Footer">
    <w:name w:val="footer"/>
    <w:basedOn w:val="Normal"/>
    <w:link w:val="FooterChar"/>
    <w:uiPriority w:val="99"/>
    <w:unhideWhenUsed/>
    <w:rsid w:val="00374434"/>
    <w:pPr>
      <w:tabs>
        <w:tab w:val="center" w:pos="4819"/>
        <w:tab w:val="right" w:pos="9638"/>
      </w:tabs>
      <w:spacing w:after="0" w:line="240" w:lineRule="auto"/>
    </w:pPr>
    <w:rPr>
      <w:sz w:val="24"/>
      <w:szCs w:val="24"/>
    </w:rPr>
  </w:style>
  <w:style w:type="character" w:customStyle="1" w:styleId="FooterChar">
    <w:name w:val="Footer Char"/>
    <w:basedOn w:val="DefaultParagraphFont"/>
    <w:link w:val="Footer"/>
    <w:uiPriority w:val="99"/>
    <w:rsid w:val="00374434"/>
  </w:style>
  <w:style w:type="character" w:styleId="Hyperlink">
    <w:name w:val="Hyperlink"/>
    <w:basedOn w:val="DefaultParagraphFont"/>
    <w:uiPriority w:val="99"/>
    <w:unhideWhenUsed/>
    <w:rsid w:val="0037443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omunikacija@maxima.l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1</Pages>
  <Words>1724</Words>
  <Characters>983</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Titas Atraskevicius</dc:creator>
  <cp:keywords/>
  <dc:description/>
  <cp:lastModifiedBy>Titas Atraskevicius</cp:lastModifiedBy>
  <cp:revision>10</cp:revision>
  <dcterms:created xsi:type="dcterms:W3CDTF">2026-02-17T07:16:00Z</dcterms:created>
  <dcterms:modified xsi:type="dcterms:W3CDTF">2026-02-19T12:19:00Z</dcterms:modified>
</cp:coreProperties>
</file>