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BB11" w14:textId="77777777" w:rsidR="00950614" w:rsidRDefault="00950614" w:rsidP="00950614">
      <w:pPr>
        <w:spacing w:after="0" w:line="240" w:lineRule="auto"/>
        <w:jc w:val="both"/>
        <w:rPr>
          <w:rFonts w:ascii="Arial" w:eastAsia="Times New Roman" w:hAnsi="Arial" w:cs="Arial"/>
          <w:color w:val="00435B"/>
          <w:kern w:val="0"/>
          <w:sz w:val="16"/>
          <w:szCs w:val="16"/>
          <w:lang w:val="lt-LT" w:eastAsia="en-GB"/>
          <w14:ligatures w14:val="none"/>
        </w:rPr>
      </w:pPr>
    </w:p>
    <w:p w14:paraId="2C670EA5" w14:textId="2F6F41C4" w:rsidR="00950614" w:rsidRPr="00B22B34" w:rsidRDefault="00950614" w:rsidP="00950614">
      <w:pPr>
        <w:spacing w:after="0" w:line="240" w:lineRule="auto"/>
        <w:jc w:val="both"/>
        <w:rPr>
          <w:rFonts w:ascii="Arial" w:eastAsia="Times New Roman" w:hAnsi="Arial" w:cs="Arial"/>
          <w:color w:val="00435B"/>
          <w:kern w:val="0"/>
          <w:sz w:val="16"/>
          <w:szCs w:val="16"/>
          <w:lang w:val="lt-LT" w:eastAsia="en-GB"/>
          <w14:ligatures w14:val="none"/>
        </w:rPr>
      </w:pPr>
      <w:r w:rsidRPr="00B22B34">
        <w:rPr>
          <w:rFonts w:ascii="Arial" w:eastAsia="Times New Roman" w:hAnsi="Arial" w:cs="Arial"/>
          <w:color w:val="00435B"/>
          <w:kern w:val="0"/>
          <w:sz w:val="16"/>
          <w:szCs w:val="16"/>
          <w:lang w:val="lt-LT" w:eastAsia="en-GB"/>
          <w14:ligatures w14:val="none"/>
        </w:rPr>
        <w:t>Pranešimas žiniasklaidai</w:t>
      </w:r>
    </w:p>
    <w:p w14:paraId="08A99C4C" w14:textId="79D932E7" w:rsidR="00950614" w:rsidRDefault="00950614" w:rsidP="00950614">
      <w:pPr>
        <w:spacing w:after="0" w:line="240" w:lineRule="auto"/>
        <w:jc w:val="both"/>
        <w:rPr>
          <w:rFonts w:ascii="Arial" w:eastAsia="Times New Roman" w:hAnsi="Arial" w:cs="Arial"/>
          <w:color w:val="00435B"/>
          <w:kern w:val="0"/>
          <w:sz w:val="16"/>
          <w:szCs w:val="16"/>
          <w:lang w:val="lt-LT" w:eastAsia="en-GB"/>
          <w14:ligatures w14:val="none"/>
        </w:rPr>
      </w:pPr>
      <w:r w:rsidRPr="00B22B34">
        <w:rPr>
          <w:rFonts w:ascii="Arial" w:eastAsia="Times New Roman" w:hAnsi="Arial" w:cs="Arial"/>
          <w:color w:val="00435B"/>
          <w:kern w:val="0"/>
          <w:sz w:val="16"/>
          <w:szCs w:val="16"/>
          <w:lang w:val="lt-LT" w:eastAsia="en-GB"/>
          <w14:ligatures w14:val="none"/>
        </w:rPr>
        <w:t xml:space="preserve">2026 m. </w:t>
      </w:r>
      <w:r w:rsidR="005632F0">
        <w:rPr>
          <w:rFonts w:ascii="Arial" w:eastAsia="Times New Roman" w:hAnsi="Arial" w:cs="Arial"/>
          <w:color w:val="00435B"/>
          <w:kern w:val="0"/>
          <w:sz w:val="16"/>
          <w:szCs w:val="16"/>
          <w:lang w:val="lt-LT" w:eastAsia="en-GB"/>
          <w14:ligatures w14:val="none"/>
        </w:rPr>
        <w:t>balandžio</w:t>
      </w:r>
      <w:r w:rsidRPr="00B22B34">
        <w:rPr>
          <w:rFonts w:ascii="Arial" w:eastAsia="Times New Roman" w:hAnsi="Arial" w:cs="Arial"/>
          <w:color w:val="00435B"/>
          <w:kern w:val="0"/>
          <w:sz w:val="16"/>
          <w:szCs w:val="16"/>
          <w:lang w:val="lt-LT" w:eastAsia="en-GB"/>
          <w14:ligatures w14:val="none"/>
        </w:rPr>
        <w:t xml:space="preserve"> 2</w:t>
      </w:r>
      <w:r w:rsidR="005632F0">
        <w:rPr>
          <w:rFonts w:ascii="Arial" w:eastAsia="Times New Roman" w:hAnsi="Arial" w:cs="Arial"/>
          <w:color w:val="00435B"/>
          <w:kern w:val="0"/>
          <w:sz w:val="16"/>
          <w:szCs w:val="16"/>
          <w:lang w:val="lt-LT" w:eastAsia="en-GB"/>
          <w14:ligatures w14:val="none"/>
        </w:rPr>
        <w:t>0</w:t>
      </w:r>
      <w:r w:rsidRPr="00B22B34">
        <w:rPr>
          <w:rFonts w:ascii="Arial" w:eastAsia="Times New Roman" w:hAnsi="Arial" w:cs="Arial"/>
          <w:color w:val="00435B"/>
          <w:kern w:val="0"/>
          <w:sz w:val="16"/>
          <w:szCs w:val="16"/>
          <w:lang w:val="lt-LT" w:eastAsia="en-GB"/>
          <w14:ligatures w14:val="none"/>
        </w:rPr>
        <w:t xml:space="preserve"> d.</w:t>
      </w:r>
    </w:p>
    <w:p w14:paraId="6390DC7E" w14:textId="77777777" w:rsidR="00950614" w:rsidRDefault="00950614" w:rsidP="00E23264">
      <w:pPr>
        <w:rPr>
          <w:b/>
          <w:bCs/>
          <w:lang w:val="lt-LT"/>
        </w:rPr>
      </w:pPr>
    </w:p>
    <w:p w14:paraId="4801DA4E" w14:textId="11837E5B" w:rsidR="00E23264" w:rsidRPr="00950614" w:rsidRDefault="005632F0" w:rsidP="00E23264">
      <w:pPr>
        <w:rPr>
          <w:rFonts w:ascii="Arial" w:hAnsi="Arial" w:cs="Arial"/>
          <w:color w:val="00435B"/>
          <w:sz w:val="22"/>
          <w:szCs w:val="22"/>
          <w:lang w:val="lt-LT"/>
        </w:rPr>
      </w:pPr>
      <w:r w:rsidRPr="005632F0">
        <w:rPr>
          <w:rFonts w:ascii="Arial" w:hAnsi="Arial" w:cs="Arial"/>
          <w:b/>
          <w:bCs/>
          <w:color w:val="00435B"/>
          <w:sz w:val="22"/>
          <w:szCs w:val="22"/>
          <w:lang w:val="lt-LT"/>
        </w:rPr>
        <w:t>ILTE garantijos 2025 metais padėjo verslui ir žemės ūkiui pritraukti daugiau nei 300 mln. eurų finansavimo</w:t>
      </w:r>
    </w:p>
    <w:p w14:paraId="1E0A792E" w14:textId="28CDA13D" w:rsidR="005632F0" w:rsidRPr="005632F0" w:rsidRDefault="005632F0" w:rsidP="005632F0">
      <w:pPr>
        <w:rPr>
          <w:rFonts w:ascii="Arial" w:hAnsi="Arial" w:cs="Arial"/>
          <w:color w:val="00435B"/>
          <w:sz w:val="22"/>
          <w:szCs w:val="22"/>
          <w:lang w:val="lt-LT"/>
        </w:rPr>
      </w:pPr>
      <w:r w:rsidRPr="005632F0">
        <w:rPr>
          <w:rFonts w:ascii="Arial" w:hAnsi="Arial" w:cs="Arial"/>
          <w:color w:val="00435B"/>
          <w:sz w:val="22"/>
          <w:szCs w:val="22"/>
          <w:lang w:val="lt-LT"/>
        </w:rPr>
        <w:t xml:space="preserve">2025 m. nacionalinis plėtros bankas ILTE suteikė garantijų už 232 mln. eurų, kurios padėjo verslui bei žemės ūkiui pritraukti 321 mln. eurų finansavimo. Garantijos išlieka viena svarbiausių priemonių, didinančių finansavimo prieinamumą verslui, ūkininkams ir eksportuojančioms įmonėms. </w:t>
      </w:r>
    </w:p>
    <w:p w14:paraId="72645B34" w14:textId="73AF6B56" w:rsidR="005632F0" w:rsidRPr="005632F0" w:rsidRDefault="005632F0" w:rsidP="005632F0">
      <w:pPr>
        <w:rPr>
          <w:rFonts w:ascii="Arial" w:hAnsi="Arial" w:cs="Arial"/>
          <w:color w:val="00435B"/>
          <w:sz w:val="22"/>
          <w:szCs w:val="22"/>
          <w:lang w:val="lt-LT"/>
        </w:rPr>
      </w:pPr>
      <w:r w:rsidRPr="005632F0">
        <w:rPr>
          <w:rFonts w:ascii="Arial" w:hAnsi="Arial" w:cs="Arial"/>
          <w:color w:val="00435B"/>
          <w:sz w:val="22"/>
          <w:szCs w:val="22"/>
          <w:lang w:val="lt-LT"/>
        </w:rPr>
        <w:t xml:space="preserve">„Garantijos leidžia finansavimą verslui ir žemės ūkiui teikti papildant rinką – jos padeda finansų įstaigoms prisiimti mažesnę riziką, o klientams lengviau pasiekti reikalingas lėšas. 2025 m. rezultatai rodo, kad šis bendradarbiavimo modelis padeda atverti daugiau galimybių investuoti, augti ir išlaikyti veiklos tęstinumą net ir sudėtingesnėmis sąlygomis“, – teigia Giedrė Gečiauskienė, ILTE valdybos narė, Klientų finansavimo tarnybos vadovė. </w:t>
      </w:r>
    </w:p>
    <w:p w14:paraId="5056AEF5" w14:textId="2BB5BBB4" w:rsidR="005632F0" w:rsidRPr="005632F0" w:rsidRDefault="005632F0" w:rsidP="005632F0">
      <w:pPr>
        <w:rPr>
          <w:rFonts w:ascii="Arial" w:hAnsi="Arial" w:cs="Arial"/>
          <w:color w:val="00435B"/>
          <w:sz w:val="22"/>
          <w:szCs w:val="22"/>
          <w:lang w:val="lt-LT"/>
        </w:rPr>
      </w:pPr>
      <w:r w:rsidRPr="005632F0">
        <w:rPr>
          <w:rFonts w:ascii="Arial" w:hAnsi="Arial" w:cs="Arial"/>
          <w:color w:val="00435B"/>
          <w:sz w:val="22"/>
          <w:szCs w:val="22"/>
          <w:lang w:val="lt-LT"/>
        </w:rPr>
        <w:t xml:space="preserve">ILTE teikia dviejų rūšių garantijas – portfelines ir individualias. Portfelinės garantijos leidžia finansų įstaigoms taikyti garantijas iš anksto sutartam finansavimo portfeliui, o individualios garantijos suteikiamos vertinant kiekvieną konkretaus verslo ar žemės ūkio subjekto finansavimo sandorį atskirai.  </w:t>
      </w:r>
    </w:p>
    <w:p w14:paraId="3C04BECA" w14:textId="75EEACCC" w:rsidR="005632F0" w:rsidRPr="005632F0" w:rsidRDefault="005632F0" w:rsidP="005632F0">
      <w:pPr>
        <w:rPr>
          <w:rFonts w:ascii="Arial" w:hAnsi="Arial" w:cs="Arial"/>
          <w:color w:val="00435B"/>
          <w:sz w:val="22"/>
          <w:szCs w:val="22"/>
          <w:lang w:val="lt-LT"/>
        </w:rPr>
      </w:pPr>
      <w:r w:rsidRPr="005632F0">
        <w:rPr>
          <w:rFonts w:ascii="Arial" w:hAnsi="Arial" w:cs="Arial"/>
          <w:color w:val="00435B"/>
          <w:sz w:val="22"/>
          <w:szCs w:val="22"/>
          <w:lang w:val="lt-LT"/>
        </w:rPr>
        <w:t xml:space="preserve">Prie garantijų finansavimo prieinamumo didinimo prisidėjo 84 finansų įstaigų ILTE partnerių tinklas. </w:t>
      </w:r>
    </w:p>
    <w:p w14:paraId="3F9E4CCE" w14:textId="60680817" w:rsidR="005632F0" w:rsidRPr="005632F0" w:rsidRDefault="005632F0" w:rsidP="005632F0">
      <w:pPr>
        <w:rPr>
          <w:rFonts w:ascii="Arial" w:hAnsi="Arial" w:cs="Arial"/>
          <w:b/>
          <w:bCs/>
          <w:color w:val="00435B"/>
          <w:sz w:val="22"/>
          <w:szCs w:val="22"/>
          <w:lang w:val="lt-LT"/>
        </w:rPr>
      </w:pPr>
      <w:r w:rsidRPr="005632F0">
        <w:rPr>
          <w:rFonts w:ascii="Arial" w:hAnsi="Arial" w:cs="Arial"/>
          <w:b/>
          <w:bCs/>
          <w:color w:val="00435B"/>
          <w:sz w:val="22"/>
          <w:szCs w:val="22"/>
          <w:lang w:val="lt-LT"/>
        </w:rPr>
        <w:t xml:space="preserve">Portfelinės garantijos – pagrindinė garantijų priemonė </w:t>
      </w:r>
    </w:p>
    <w:p w14:paraId="7D455C70" w14:textId="120B4F79" w:rsidR="005632F0" w:rsidRPr="005632F0" w:rsidRDefault="005632F0" w:rsidP="005632F0">
      <w:pPr>
        <w:rPr>
          <w:rFonts w:ascii="Arial" w:hAnsi="Arial" w:cs="Arial"/>
          <w:color w:val="00435B"/>
          <w:sz w:val="22"/>
          <w:szCs w:val="22"/>
          <w:lang w:val="lt-LT"/>
        </w:rPr>
      </w:pPr>
      <w:r w:rsidRPr="005632F0">
        <w:rPr>
          <w:rFonts w:ascii="Arial" w:hAnsi="Arial" w:cs="Arial"/>
          <w:color w:val="00435B"/>
          <w:sz w:val="22"/>
          <w:szCs w:val="22"/>
          <w:lang w:val="lt-LT"/>
        </w:rPr>
        <w:t xml:space="preserve">Didžiausią suteiktų garantijų dalį sudarė portfelinės garantijos. 2025 m. ILTE suteikė portfelinių garantijų už 184 mln. eurų, o jos padėjo pritraukti 233 mln. eurų finansavimo. Ši priemonė, įgyvendinama kartu su finansų partneriais, leidžia finansų įstaigoms mažinti riziką, o verslui – lengviau gauti finansavimą.  </w:t>
      </w:r>
    </w:p>
    <w:p w14:paraId="14B8C483" w14:textId="56F484C3" w:rsidR="005632F0" w:rsidRPr="005632F0" w:rsidRDefault="005632F0" w:rsidP="005632F0">
      <w:pPr>
        <w:rPr>
          <w:rFonts w:ascii="Arial" w:hAnsi="Arial" w:cs="Arial"/>
          <w:color w:val="00435B"/>
          <w:sz w:val="22"/>
          <w:szCs w:val="22"/>
          <w:lang w:val="lt-LT"/>
        </w:rPr>
      </w:pPr>
      <w:r w:rsidRPr="005632F0">
        <w:rPr>
          <w:rFonts w:ascii="Arial" w:hAnsi="Arial" w:cs="Arial"/>
          <w:color w:val="00435B"/>
          <w:sz w:val="22"/>
          <w:szCs w:val="22"/>
          <w:lang w:val="lt-LT"/>
        </w:rPr>
        <w:t xml:space="preserve">Siekiant plėsti finansavimo prieinamumą, 2025 m. ILTE pasirašė devynias naujas sutartis su finansų įstaigomis dėl papildomų 59 mln. eurų priemonės lėšų. Tai sudarys sąlygas finansų įstaigoms suteikti verslui garantuojamų paskolų už maždaug 640 mln. eurų. </w:t>
      </w:r>
    </w:p>
    <w:p w14:paraId="2E06ADC5" w14:textId="7D960254" w:rsidR="005632F0" w:rsidRPr="005632F0" w:rsidRDefault="005632F0" w:rsidP="005632F0">
      <w:pPr>
        <w:rPr>
          <w:rFonts w:ascii="Arial" w:hAnsi="Arial" w:cs="Arial"/>
          <w:b/>
          <w:bCs/>
          <w:color w:val="00435B"/>
          <w:sz w:val="22"/>
          <w:szCs w:val="22"/>
          <w:lang w:val="lt-LT"/>
        </w:rPr>
      </w:pPr>
      <w:r w:rsidRPr="005632F0">
        <w:rPr>
          <w:rFonts w:ascii="Arial" w:hAnsi="Arial" w:cs="Arial"/>
          <w:b/>
          <w:bCs/>
          <w:color w:val="00435B"/>
          <w:sz w:val="22"/>
          <w:szCs w:val="22"/>
          <w:lang w:val="lt-LT"/>
        </w:rPr>
        <w:t xml:space="preserve">Individualios garantijos – svarbiausios ūkininkams </w:t>
      </w:r>
    </w:p>
    <w:p w14:paraId="649241FB" w14:textId="64F3839B" w:rsidR="005632F0" w:rsidRPr="005632F0" w:rsidRDefault="005632F0" w:rsidP="005632F0">
      <w:pPr>
        <w:rPr>
          <w:rFonts w:ascii="Arial" w:hAnsi="Arial" w:cs="Arial"/>
          <w:color w:val="00435B"/>
          <w:sz w:val="22"/>
          <w:szCs w:val="22"/>
          <w:lang w:val="lt-LT"/>
        </w:rPr>
      </w:pPr>
      <w:r w:rsidRPr="005632F0">
        <w:rPr>
          <w:rFonts w:ascii="Arial" w:hAnsi="Arial" w:cs="Arial"/>
          <w:color w:val="00435B"/>
          <w:sz w:val="22"/>
          <w:szCs w:val="22"/>
          <w:lang w:val="lt-LT"/>
        </w:rPr>
        <w:t>2025 m</w:t>
      </w:r>
      <w:r>
        <w:rPr>
          <w:rFonts w:ascii="Arial" w:hAnsi="Arial" w:cs="Arial"/>
          <w:color w:val="00435B"/>
          <w:sz w:val="22"/>
          <w:szCs w:val="22"/>
          <w:lang w:val="lt-LT"/>
        </w:rPr>
        <w:t>.</w:t>
      </w:r>
      <w:r w:rsidRPr="005632F0">
        <w:rPr>
          <w:rFonts w:ascii="Arial" w:hAnsi="Arial" w:cs="Arial"/>
          <w:color w:val="00435B"/>
          <w:sz w:val="22"/>
          <w:szCs w:val="22"/>
          <w:lang w:val="lt-LT"/>
        </w:rPr>
        <w:t xml:space="preserve"> ILTE suteikė individualių garantijų už 48 mln. eurų, o jos padėjo verslui ir </w:t>
      </w:r>
      <w:r>
        <w:rPr>
          <w:rFonts w:ascii="Arial" w:hAnsi="Arial" w:cs="Arial"/>
          <w:color w:val="00435B"/>
          <w:sz w:val="22"/>
          <w:szCs w:val="22"/>
          <w:lang w:val="lt-LT"/>
        </w:rPr>
        <w:t xml:space="preserve">žemės </w:t>
      </w:r>
      <w:r w:rsidRPr="005632F0">
        <w:rPr>
          <w:rFonts w:ascii="Arial" w:hAnsi="Arial" w:cs="Arial"/>
          <w:color w:val="00435B"/>
          <w:sz w:val="22"/>
          <w:szCs w:val="22"/>
          <w:lang w:val="lt-LT"/>
        </w:rPr>
        <w:t xml:space="preserve">ūkiui pritraukti 88 mln. eurų finansavimo. Ši priemonė išlieka svarbi tiems verslams ir ūkiams, kuriems reikalingas papildomas užtikrinimas siekiant gauti finansavimą.  </w:t>
      </w:r>
    </w:p>
    <w:p w14:paraId="59FA2DB9" w14:textId="77777777" w:rsidR="005632F0" w:rsidRPr="005632F0" w:rsidRDefault="005632F0" w:rsidP="005632F0">
      <w:pPr>
        <w:rPr>
          <w:rFonts w:ascii="Arial" w:hAnsi="Arial" w:cs="Arial"/>
          <w:color w:val="00435B"/>
          <w:sz w:val="22"/>
          <w:szCs w:val="22"/>
          <w:lang w:val="lt-LT"/>
        </w:rPr>
      </w:pPr>
      <w:r w:rsidRPr="005632F0">
        <w:rPr>
          <w:rFonts w:ascii="Arial" w:hAnsi="Arial" w:cs="Arial"/>
          <w:color w:val="00435B"/>
          <w:sz w:val="22"/>
          <w:szCs w:val="22"/>
          <w:lang w:val="lt-LT"/>
        </w:rPr>
        <w:t xml:space="preserve">2025 metais tarp individualių garantijų dominavo žemės ūkio klientams skirtos garantijos – jos sudarė beveik pusę visų individualių garantijų. Dar kiek daugiau nei du penktadaliai teko paskoloms ir lizingui, o likusi dalis – obligacijų ir eksporto kredito garantijoms. Tai rodo, kad individualios garantijos išlieka ypač svarbios tiek ūkininkams, tiek augančiam verslui, kuriam aktualus skolinimasis ir apyvartinių lėšų finansavimas. Žemės ūkio klientų aktyvumui įtakos turėjo ir tai, kad investicinėms paskoloms, apyvartinėms lėšoms bei lizingui toliau taikyta 80 proc. palūkanų kompensacija, taip pat kompensuotas ir garantijos mokestis. </w:t>
      </w:r>
    </w:p>
    <w:p w14:paraId="6DB8EF7E" w14:textId="77777777" w:rsidR="005632F0" w:rsidRPr="005632F0" w:rsidRDefault="005632F0" w:rsidP="005632F0">
      <w:pPr>
        <w:rPr>
          <w:rFonts w:ascii="Arial" w:hAnsi="Arial" w:cs="Arial"/>
          <w:color w:val="00435B"/>
          <w:sz w:val="22"/>
          <w:szCs w:val="22"/>
          <w:lang w:val="lt-LT"/>
        </w:rPr>
      </w:pPr>
    </w:p>
    <w:p w14:paraId="6AC89414" w14:textId="77777777" w:rsidR="005632F0" w:rsidRPr="005632F0" w:rsidRDefault="005632F0" w:rsidP="005632F0">
      <w:pPr>
        <w:rPr>
          <w:rFonts w:ascii="Arial" w:hAnsi="Arial" w:cs="Arial"/>
          <w:color w:val="00435B"/>
          <w:sz w:val="22"/>
          <w:szCs w:val="22"/>
          <w:lang w:val="lt-LT"/>
        </w:rPr>
      </w:pPr>
      <w:r w:rsidRPr="005632F0">
        <w:rPr>
          <w:rFonts w:ascii="Arial" w:hAnsi="Arial" w:cs="Arial"/>
          <w:color w:val="00435B"/>
          <w:sz w:val="22"/>
          <w:szCs w:val="22"/>
          <w:lang w:val="lt-LT"/>
        </w:rPr>
        <w:t xml:space="preserve">Svarbią vietą užėmė ir eksporto kredito garantijos, padedančios įmonėms tęsti prekybą didesnės rizikos rinkose. 2025 metais šia priemone daugiausia naudojosi maisto pramonės įmonės, eksportuojančios į Ukrainą, tarp jų pieno produktų ir saldumynų gamintojai. </w:t>
      </w:r>
    </w:p>
    <w:p w14:paraId="58C4555D" w14:textId="77777777" w:rsidR="00950614" w:rsidRDefault="00950614" w:rsidP="00950614">
      <w:pPr>
        <w:spacing w:after="0" w:line="240" w:lineRule="auto"/>
        <w:jc w:val="both"/>
        <w:rPr>
          <w:rFonts w:ascii="Arial" w:eastAsia="Calibri" w:hAnsi="Arial" w:cs="Arial"/>
          <w:color w:val="00435B"/>
          <w:sz w:val="16"/>
          <w:szCs w:val="16"/>
          <w:lang w:val="lt-LT"/>
        </w:rPr>
      </w:pPr>
    </w:p>
    <w:p w14:paraId="7CAEF887" w14:textId="77777777" w:rsidR="00950614" w:rsidRDefault="00950614" w:rsidP="00950614">
      <w:pPr>
        <w:spacing w:after="0" w:line="240" w:lineRule="auto"/>
        <w:jc w:val="both"/>
        <w:rPr>
          <w:rFonts w:ascii="Arial" w:eastAsia="Calibri" w:hAnsi="Arial" w:cs="Arial"/>
          <w:color w:val="00435B"/>
          <w:sz w:val="16"/>
          <w:szCs w:val="16"/>
          <w:lang w:val="lt-LT"/>
        </w:rPr>
      </w:pPr>
    </w:p>
    <w:p w14:paraId="1BDDA06C" w14:textId="7F0BA467" w:rsidR="00950614" w:rsidRPr="00E46195" w:rsidRDefault="00950614" w:rsidP="00950614">
      <w:pPr>
        <w:spacing w:after="0" w:line="240" w:lineRule="auto"/>
        <w:jc w:val="both"/>
        <w:rPr>
          <w:rFonts w:ascii="Arial" w:eastAsia="Calibri" w:hAnsi="Arial" w:cs="Arial"/>
          <w:color w:val="00435B"/>
          <w:sz w:val="16"/>
          <w:szCs w:val="16"/>
          <w:lang w:val="lt-LT"/>
        </w:rPr>
      </w:pPr>
      <w:r w:rsidRPr="00E46195">
        <w:rPr>
          <w:rFonts w:ascii="Arial" w:eastAsia="Calibri" w:hAnsi="Arial" w:cs="Arial"/>
          <w:color w:val="00435B"/>
          <w:sz w:val="16"/>
          <w:szCs w:val="16"/>
          <w:lang w:val="lt-LT"/>
        </w:rPr>
        <w:t>Daugiau informacijos:</w:t>
      </w:r>
    </w:p>
    <w:p w14:paraId="206001BD" w14:textId="77777777" w:rsidR="00950614" w:rsidRPr="00E46195" w:rsidRDefault="00950614" w:rsidP="00950614">
      <w:pPr>
        <w:spacing w:after="0" w:line="240" w:lineRule="auto"/>
        <w:jc w:val="both"/>
        <w:rPr>
          <w:rFonts w:ascii="Arial" w:eastAsia="Calibri" w:hAnsi="Arial" w:cs="Arial"/>
          <w:color w:val="00435B"/>
          <w:sz w:val="16"/>
          <w:szCs w:val="16"/>
          <w:lang w:val="lt-LT"/>
        </w:rPr>
      </w:pPr>
    </w:p>
    <w:p w14:paraId="1E2F7379" w14:textId="77777777" w:rsidR="00950614" w:rsidRPr="00E46195" w:rsidRDefault="00950614" w:rsidP="00950614">
      <w:pPr>
        <w:spacing w:after="0" w:line="240" w:lineRule="auto"/>
        <w:jc w:val="both"/>
        <w:rPr>
          <w:rFonts w:ascii="Arial" w:eastAsia="Calibri" w:hAnsi="Arial" w:cs="Arial"/>
          <w:color w:val="00435B"/>
          <w:sz w:val="16"/>
          <w:szCs w:val="16"/>
          <w:lang w:val="lt-LT"/>
        </w:rPr>
      </w:pPr>
      <w:r w:rsidRPr="00E46195">
        <w:rPr>
          <w:rFonts w:ascii="Arial" w:eastAsia="Calibri" w:hAnsi="Arial" w:cs="Arial"/>
          <w:color w:val="00435B"/>
          <w:sz w:val="16"/>
          <w:szCs w:val="16"/>
          <w:lang w:val="lt-LT"/>
        </w:rPr>
        <w:t>Viktorija Voroncova</w:t>
      </w:r>
    </w:p>
    <w:p w14:paraId="1D6DAB32" w14:textId="77777777" w:rsidR="00950614" w:rsidRPr="00E46195" w:rsidRDefault="00950614" w:rsidP="00950614">
      <w:pPr>
        <w:spacing w:after="0" w:line="240" w:lineRule="auto"/>
        <w:jc w:val="both"/>
        <w:rPr>
          <w:rFonts w:ascii="Arial" w:eastAsia="Calibri" w:hAnsi="Arial" w:cs="Arial"/>
          <w:color w:val="00435B"/>
          <w:sz w:val="16"/>
          <w:szCs w:val="16"/>
          <w:lang w:val="lt-LT"/>
        </w:rPr>
      </w:pPr>
      <w:r w:rsidRPr="00E46195">
        <w:rPr>
          <w:rFonts w:ascii="Arial" w:eastAsia="Calibri" w:hAnsi="Arial" w:cs="Arial"/>
          <w:color w:val="00435B"/>
          <w:sz w:val="16"/>
          <w:szCs w:val="16"/>
          <w:lang w:val="lt-LT"/>
        </w:rPr>
        <w:t>Atstovė žiniasklaidai</w:t>
      </w:r>
    </w:p>
    <w:p w14:paraId="134D6686" w14:textId="77777777" w:rsidR="00950614" w:rsidRPr="00E46195" w:rsidRDefault="00950614" w:rsidP="00950614">
      <w:pPr>
        <w:spacing w:after="0" w:line="240" w:lineRule="auto"/>
        <w:jc w:val="both"/>
        <w:rPr>
          <w:rFonts w:ascii="Arial" w:eastAsia="Calibri" w:hAnsi="Arial" w:cs="Arial"/>
          <w:color w:val="00435B"/>
          <w:sz w:val="16"/>
          <w:szCs w:val="16"/>
        </w:rPr>
      </w:pPr>
      <w:r w:rsidRPr="00E46195">
        <w:rPr>
          <w:rFonts w:ascii="Arial" w:eastAsia="Calibri" w:hAnsi="Arial" w:cs="Arial"/>
          <w:color w:val="00435B"/>
          <w:sz w:val="16"/>
          <w:szCs w:val="16"/>
          <w:lang w:val="lt-LT"/>
        </w:rPr>
        <w:t xml:space="preserve">El. p. </w:t>
      </w:r>
      <w:hyperlink r:id="rId6" w:history="1">
        <w:r w:rsidRPr="00E46195">
          <w:rPr>
            <w:rFonts w:ascii="Arial" w:eastAsia="Calibri" w:hAnsi="Arial" w:cs="Arial"/>
            <w:color w:val="0563C1"/>
            <w:sz w:val="16"/>
            <w:szCs w:val="16"/>
            <w:u w:val="single"/>
            <w:lang w:val="lt-LT"/>
          </w:rPr>
          <w:t>media</w:t>
        </w:r>
        <w:r w:rsidRPr="00E46195">
          <w:rPr>
            <w:rFonts w:ascii="Arial" w:eastAsia="Calibri" w:hAnsi="Arial" w:cs="Arial"/>
            <w:color w:val="0563C1"/>
            <w:sz w:val="16"/>
            <w:szCs w:val="16"/>
            <w:u w:val="single"/>
          </w:rPr>
          <w:t>@ilte.lt</w:t>
        </w:r>
      </w:hyperlink>
      <w:r w:rsidRPr="00E46195">
        <w:rPr>
          <w:rFonts w:ascii="Arial" w:eastAsia="Calibri" w:hAnsi="Arial" w:cs="Arial"/>
          <w:color w:val="00435B"/>
          <w:sz w:val="16"/>
          <w:szCs w:val="16"/>
        </w:rPr>
        <w:t xml:space="preserve"> </w:t>
      </w:r>
    </w:p>
    <w:p w14:paraId="1E11338E" w14:textId="69421053" w:rsidR="6622EC6C" w:rsidRDefault="6622EC6C" w:rsidP="7E2F9CE1"/>
    <w:sectPr w:rsidR="6622EC6C">
      <w:headerReference w:type="default" r:id="rId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EE71" w14:textId="77777777" w:rsidR="00DE32BB" w:rsidRDefault="00DE32BB" w:rsidP="00950614">
      <w:pPr>
        <w:spacing w:after="0" w:line="240" w:lineRule="auto"/>
      </w:pPr>
      <w:r>
        <w:separator/>
      </w:r>
    </w:p>
  </w:endnote>
  <w:endnote w:type="continuationSeparator" w:id="0">
    <w:p w14:paraId="6CAD3E1A" w14:textId="77777777" w:rsidR="00DE32BB" w:rsidRDefault="00DE32BB" w:rsidP="0095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1B84" w14:textId="77777777" w:rsidR="00DE32BB" w:rsidRDefault="00DE32BB" w:rsidP="00950614">
      <w:pPr>
        <w:spacing w:after="0" w:line="240" w:lineRule="auto"/>
      </w:pPr>
      <w:r>
        <w:separator/>
      </w:r>
    </w:p>
  </w:footnote>
  <w:footnote w:type="continuationSeparator" w:id="0">
    <w:p w14:paraId="00E8933E" w14:textId="77777777" w:rsidR="00DE32BB" w:rsidRDefault="00DE32BB" w:rsidP="00950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44CB" w14:textId="7CD330E3" w:rsidR="00950614" w:rsidRDefault="00950614">
    <w:pPr>
      <w:pStyle w:val="Header"/>
    </w:pPr>
    <w:r>
      <w:rPr>
        <w:rFonts w:ascii="Arial" w:eastAsia="Times New Roman" w:hAnsi="Arial" w:cs="Arial"/>
        <w:noProof/>
        <w:color w:val="0C253B"/>
        <w:kern w:val="0"/>
        <w:sz w:val="18"/>
        <w:szCs w:val="18"/>
        <w:lang w:eastAsia="en-GB"/>
      </w:rPr>
      <w:drawing>
        <wp:anchor distT="0" distB="0" distL="114300" distR="114300" simplePos="0" relativeHeight="251659264" behindDoc="0" locked="0" layoutInCell="1" allowOverlap="1" wp14:anchorId="4D07720B" wp14:editId="31AEFA52">
          <wp:simplePos x="0" y="0"/>
          <wp:positionH relativeFrom="column">
            <wp:posOffset>0</wp:posOffset>
          </wp:positionH>
          <wp:positionV relativeFrom="paragraph">
            <wp:posOffset>-635</wp:posOffset>
          </wp:positionV>
          <wp:extent cx="939800" cy="495300"/>
          <wp:effectExtent l="0" t="0" r="0" b="0"/>
          <wp:wrapNone/>
          <wp:docPr id="93224887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
  <w:p w14:paraId="6DE8E046" w14:textId="77777777" w:rsidR="00950614" w:rsidRDefault="009506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64"/>
    <w:rsid w:val="000F243A"/>
    <w:rsid w:val="001F74F0"/>
    <w:rsid w:val="00266D28"/>
    <w:rsid w:val="004304B9"/>
    <w:rsid w:val="004D4377"/>
    <w:rsid w:val="005632F0"/>
    <w:rsid w:val="007C6605"/>
    <w:rsid w:val="00810CBE"/>
    <w:rsid w:val="008B7FDC"/>
    <w:rsid w:val="008E13CA"/>
    <w:rsid w:val="00950614"/>
    <w:rsid w:val="009B0FAF"/>
    <w:rsid w:val="00A16692"/>
    <w:rsid w:val="00A51DBD"/>
    <w:rsid w:val="00B77F05"/>
    <w:rsid w:val="00C0509B"/>
    <w:rsid w:val="00DE32BB"/>
    <w:rsid w:val="00DE6377"/>
    <w:rsid w:val="00E23264"/>
    <w:rsid w:val="00E26F22"/>
    <w:rsid w:val="00FD154A"/>
    <w:rsid w:val="022936BD"/>
    <w:rsid w:val="0A9195D6"/>
    <w:rsid w:val="15735338"/>
    <w:rsid w:val="1597C1E2"/>
    <w:rsid w:val="179195CF"/>
    <w:rsid w:val="1ECC54E6"/>
    <w:rsid w:val="1ECFEA89"/>
    <w:rsid w:val="21E1B9BC"/>
    <w:rsid w:val="2C78C813"/>
    <w:rsid w:val="2C94A049"/>
    <w:rsid w:val="2E01467C"/>
    <w:rsid w:val="33E93BB9"/>
    <w:rsid w:val="33FF336D"/>
    <w:rsid w:val="3E465014"/>
    <w:rsid w:val="3FFBC5B8"/>
    <w:rsid w:val="431CF913"/>
    <w:rsid w:val="47BAEF8B"/>
    <w:rsid w:val="4DFFFC03"/>
    <w:rsid w:val="50109FFA"/>
    <w:rsid w:val="51D0DA8E"/>
    <w:rsid w:val="52F60195"/>
    <w:rsid w:val="570014E5"/>
    <w:rsid w:val="57DC9C00"/>
    <w:rsid w:val="58027AC4"/>
    <w:rsid w:val="5F917CE2"/>
    <w:rsid w:val="5FB7DF13"/>
    <w:rsid w:val="60CF59A7"/>
    <w:rsid w:val="630D8518"/>
    <w:rsid w:val="641055D4"/>
    <w:rsid w:val="6622EC6C"/>
    <w:rsid w:val="6690B0A5"/>
    <w:rsid w:val="6E8AB4F4"/>
    <w:rsid w:val="7134CA76"/>
    <w:rsid w:val="79B485F9"/>
    <w:rsid w:val="7E2F9CE1"/>
    <w:rsid w:val="7F9B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A87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264"/>
    <w:rPr>
      <w:rFonts w:eastAsiaTheme="majorEastAsia" w:cstheme="majorBidi"/>
      <w:color w:val="272727" w:themeColor="text1" w:themeTint="D8"/>
    </w:rPr>
  </w:style>
  <w:style w:type="paragraph" w:styleId="Title">
    <w:name w:val="Title"/>
    <w:basedOn w:val="Normal"/>
    <w:next w:val="Normal"/>
    <w:link w:val="TitleChar"/>
    <w:uiPriority w:val="10"/>
    <w:qFormat/>
    <w:rsid w:val="00E23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264"/>
    <w:pPr>
      <w:spacing w:before="160"/>
      <w:jc w:val="center"/>
    </w:pPr>
    <w:rPr>
      <w:i/>
      <w:iCs/>
      <w:color w:val="404040" w:themeColor="text1" w:themeTint="BF"/>
    </w:rPr>
  </w:style>
  <w:style w:type="character" w:customStyle="1" w:styleId="QuoteChar">
    <w:name w:val="Quote Char"/>
    <w:basedOn w:val="DefaultParagraphFont"/>
    <w:link w:val="Quote"/>
    <w:uiPriority w:val="29"/>
    <w:rsid w:val="00E23264"/>
    <w:rPr>
      <w:i/>
      <w:iCs/>
      <w:color w:val="404040" w:themeColor="text1" w:themeTint="BF"/>
    </w:rPr>
  </w:style>
  <w:style w:type="paragraph" w:styleId="ListParagraph">
    <w:name w:val="List Paragraph"/>
    <w:basedOn w:val="Normal"/>
    <w:uiPriority w:val="34"/>
    <w:qFormat/>
    <w:rsid w:val="00E23264"/>
    <w:pPr>
      <w:ind w:left="720"/>
      <w:contextualSpacing/>
    </w:pPr>
  </w:style>
  <w:style w:type="character" w:styleId="IntenseEmphasis">
    <w:name w:val="Intense Emphasis"/>
    <w:basedOn w:val="DefaultParagraphFont"/>
    <w:uiPriority w:val="21"/>
    <w:qFormat/>
    <w:rsid w:val="00E23264"/>
    <w:rPr>
      <w:i/>
      <w:iCs/>
      <w:color w:val="0F4761" w:themeColor="accent1" w:themeShade="BF"/>
    </w:rPr>
  </w:style>
  <w:style w:type="paragraph" w:styleId="IntenseQuote">
    <w:name w:val="Intense Quote"/>
    <w:basedOn w:val="Normal"/>
    <w:next w:val="Normal"/>
    <w:link w:val="IntenseQuoteChar"/>
    <w:uiPriority w:val="30"/>
    <w:qFormat/>
    <w:rsid w:val="00E23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264"/>
    <w:rPr>
      <w:i/>
      <w:iCs/>
      <w:color w:val="0F4761" w:themeColor="accent1" w:themeShade="BF"/>
    </w:rPr>
  </w:style>
  <w:style w:type="character" w:styleId="IntenseReference">
    <w:name w:val="Intense Reference"/>
    <w:basedOn w:val="DefaultParagraphFont"/>
    <w:uiPriority w:val="32"/>
    <w:qFormat/>
    <w:rsid w:val="00E23264"/>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26F22"/>
    <w:pPr>
      <w:spacing w:after="0" w:line="240" w:lineRule="auto"/>
    </w:pPr>
  </w:style>
  <w:style w:type="paragraph" w:styleId="Header">
    <w:name w:val="header"/>
    <w:basedOn w:val="Normal"/>
    <w:link w:val="HeaderChar"/>
    <w:uiPriority w:val="99"/>
    <w:unhideWhenUsed/>
    <w:rsid w:val="00950614"/>
    <w:pPr>
      <w:tabs>
        <w:tab w:val="center" w:pos="4986"/>
        <w:tab w:val="right" w:pos="9972"/>
      </w:tabs>
      <w:spacing w:after="0" w:line="240" w:lineRule="auto"/>
    </w:pPr>
  </w:style>
  <w:style w:type="character" w:customStyle="1" w:styleId="HeaderChar">
    <w:name w:val="Header Char"/>
    <w:basedOn w:val="DefaultParagraphFont"/>
    <w:link w:val="Header"/>
    <w:uiPriority w:val="99"/>
    <w:rsid w:val="00950614"/>
  </w:style>
  <w:style w:type="paragraph" w:styleId="Footer">
    <w:name w:val="footer"/>
    <w:basedOn w:val="Normal"/>
    <w:link w:val="FooterChar"/>
    <w:uiPriority w:val="99"/>
    <w:unhideWhenUsed/>
    <w:rsid w:val="00950614"/>
    <w:pPr>
      <w:tabs>
        <w:tab w:val="center" w:pos="4986"/>
        <w:tab w:val="right" w:pos="9972"/>
      </w:tabs>
      <w:spacing w:after="0" w:line="240" w:lineRule="auto"/>
    </w:pPr>
  </w:style>
  <w:style w:type="character" w:customStyle="1" w:styleId="FooterChar">
    <w:name w:val="Footer Char"/>
    <w:basedOn w:val="DefaultParagraphFont"/>
    <w:link w:val="Footer"/>
    <w:uiPriority w:val="99"/>
    <w:rsid w:val="0095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ilte.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2026-04-20T05:51:00Z</dcterms:created>
  <dcterms:modified xsi:type="dcterms:W3CDTF">2026-04-20T05:51:00Z</dcterms:modified>
</cp:coreProperties>
</file>