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DB458" w14:textId="427D2F71" w:rsidR="00F64F2E" w:rsidRPr="00F64F2E" w:rsidRDefault="00F64F2E" w:rsidP="00EA4C3F">
      <w:pPr>
        <w:jc w:val="center"/>
        <w:rPr>
          <w:lang w:val="en-US"/>
        </w:rPr>
      </w:pPr>
      <w:r w:rsidRPr="00F64F2E">
        <w:rPr>
          <w:b/>
          <w:bCs/>
          <w:lang w:val="en-US"/>
        </w:rPr>
        <w:t xml:space="preserve">Raul Eamets. </w:t>
      </w:r>
      <w:proofErr w:type="spellStart"/>
      <w:r w:rsidR="00A17EBE">
        <w:rPr>
          <w:b/>
          <w:bCs/>
          <w:lang w:val="en-US"/>
        </w:rPr>
        <w:t>Gyventojus</w:t>
      </w:r>
      <w:proofErr w:type="spellEnd"/>
      <w:r w:rsidR="00A17EBE">
        <w:rPr>
          <w:b/>
          <w:bCs/>
          <w:lang w:val="en-US"/>
        </w:rPr>
        <w:t xml:space="preserve"> </w:t>
      </w:r>
      <w:proofErr w:type="spellStart"/>
      <w:r w:rsidR="00A17EBE">
        <w:rPr>
          <w:b/>
          <w:bCs/>
          <w:lang w:val="en-US"/>
        </w:rPr>
        <w:t>vienu</w:t>
      </w:r>
      <w:proofErr w:type="spellEnd"/>
      <w:r w:rsidR="00A17EBE">
        <w:rPr>
          <w:b/>
          <w:bCs/>
          <w:lang w:val="en-US"/>
        </w:rPr>
        <w:t xml:space="preserve"> </w:t>
      </w:r>
      <w:proofErr w:type="spellStart"/>
      <w:r w:rsidR="00A17EBE">
        <w:rPr>
          <w:b/>
          <w:bCs/>
          <w:lang w:val="en-US"/>
        </w:rPr>
        <w:t>metu</w:t>
      </w:r>
      <w:proofErr w:type="spellEnd"/>
      <w:r w:rsidR="00A17EBE">
        <w:rPr>
          <w:b/>
          <w:bCs/>
          <w:lang w:val="en-US"/>
        </w:rPr>
        <w:t xml:space="preserve"> </w:t>
      </w:r>
      <w:proofErr w:type="spellStart"/>
      <w:r w:rsidR="00A17EBE">
        <w:rPr>
          <w:b/>
          <w:bCs/>
          <w:lang w:val="en-US"/>
        </w:rPr>
        <w:t>spaudžia</w:t>
      </w:r>
      <w:proofErr w:type="spellEnd"/>
      <w:r w:rsidR="00A17EBE">
        <w:rPr>
          <w:b/>
          <w:bCs/>
          <w:lang w:val="en-US"/>
        </w:rPr>
        <w:t xml:space="preserve"> </w:t>
      </w:r>
      <w:proofErr w:type="spellStart"/>
      <w:r w:rsidR="00A17EBE">
        <w:rPr>
          <w:b/>
          <w:bCs/>
          <w:lang w:val="en-US"/>
        </w:rPr>
        <w:t>ir</w:t>
      </w:r>
      <w:proofErr w:type="spellEnd"/>
      <w:r w:rsidR="00A17EBE">
        <w:rPr>
          <w:b/>
          <w:bCs/>
          <w:lang w:val="en-US"/>
        </w:rPr>
        <w:t xml:space="preserve"> </w:t>
      </w:r>
      <w:proofErr w:type="spellStart"/>
      <w:r w:rsidR="00A17EBE">
        <w:rPr>
          <w:b/>
          <w:bCs/>
          <w:lang w:val="en-US"/>
        </w:rPr>
        <w:t>infliacija</w:t>
      </w:r>
      <w:proofErr w:type="spellEnd"/>
      <w:r w:rsidR="00A17EBE">
        <w:rPr>
          <w:b/>
          <w:bCs/>
          <w:lang w:val="en-US"/>
        </w:rPr>
        <w:t xml:space="preserve">, </w:t>
      </w:r>
      <w:proofErr w:type="spellStart"/>
      <w:r w:rsidR="00A17EBE">
        <w:rPr>
          <w:b/>
          <w:bCs/>
          <w:lang w:val="en-US"/>
        </w:rPr>
        <w:t>ir</w:t>
      </w:r>
      <w:proofErr w:type="spellEnd"/>
      <w:r w:rsidR="00A17EBE">
        <w:rPr>
          <w:b/>
          <w:bCs/>
          <w:lang w:val="en-US"/>
        </w:rPr>
        <w:t xml:space="preserve"> E</w:t>
      </w:r>
      <w:r w:rsidR="00C163D7">
        <w:rPr>
          <w:b/>
          <w:bCs/>
          <w:lang w:val="en-US"/>
        </w:rPr>
        <w:t xml:space="preserve">uropos </w:t>
      </w:r>
      <w:proofErr w:type="spellStart"/>
      <w:r w:rsidR="00A17EBE">
        <w:rPr>
          <w:b/>
          <w:bCs/>
          <w:lang w:val="en-US"/>
        </w:rPr>
        <w:t>C</w:t>
      </w:r>
      <w:r w:rsidR="00C163D7">
        <w:rPr>
          <w:b/>
          <w:bCs/>
          <w:lang w:val="en-US"/>
        </w:rPr>
        <w:t>entrinis</w:t>
      </w:r>
      <w:proofErr w:type="spellEnd"/>
      <w:r w:rsidR="00C163D7">
        <w:rPr>
          <w:b/>
          <w:bCs/>
          <w:lang w:val="en-US"/>
        </w:rPr>
        <w:t xml:space="preserve"> Bankas</w:t>
      </w:r>
    </w:p>
    <w:p w14:paraId="6D9D9D8F" w14:textId="03B75B3C" w:rsidR="00A17EBE" w:rsidRPr="0077770E" w:rsidRDefault="00F64F2E" w:rsidP="00F64F2E">
      <w:pPr>
        <w:rPr>
          <w:i/>
          <w:iCs/>
          <w:lang w:val="en-US"/>
        </w:rPr>
      </w:pPr>
      <w:r w:rsidRPr="00F64F2E">
        <w:rPr>
          <w:i/>
          <w:iCs/>
          <w:lang w:val="en-US"/>
        </w:rPr>
        <w:t xml:space="preserve">Raul Eamets, </w:t>
      </w:r>
      <w:proofErr w:type="spellStart"/>
      <w:r w:rsidRPr="00F64F2E">
        <w:rPr>
          <w:i/>
          <w:iCs/>
          <w:lang w:val="en-US"/>
        </w:rPr>
        <w:t>banko</w:t>
      </w:r>
      <w:proofErr w:type="spellEnd"/>
      <w:r w:rsidRPr="00F64F2E">
        <w:rPr>
          <w:i/>
          <w:iCs/>
          <w:lang w:val="en-US"/>
        </w:rPr>
        <w:t xml:space="preserve"> „</w:t>
      </w:r>
      <w:proofErr w:type="spellStart"/>
      <w:proofErr w:type="gramStart"/>
      <w:r w:rsidRPr="00F64F2E">
        <w:rPr>
          <w:i/>
          <w:iCs/>
          <w:lang w:val="en-US"/>
        </w:rPr>
        <w:t>Bigbank</w:t>
      </w:r>
      <w:proofErr w:type="spellEnd"/>
      <w:r w:rsidRPr="00F64F2E">
        <w:rPr>
          <w:i/>
          <w:iCs/>
          <w:lang w:val="en-US"/>
        </w:rPr>
        <w:t xml:space="preserve">“ </w:t>
      </w:r>
      <w:proofErr w:type="spellStart"/>
      <w:r w:rsidRPr="00F64F2E">
        <w:rPr>
          <w:i/>
          <w:iCs/>
          <w:lang w:val="en-US"/>
        </w:rPr>
        <w:t>vyriausiasis</w:t>
      </w:r>
      <w:proofErr w:type="spellEnd"/>
      <w:proofErr w:type="gramEnd"/>
      <w:r w:rsidRPr="00F64F2E">
        <w:rPr>
          <w:i/>
          <w:iCs/>
          <w:lang w:val="en-US"/>
        </w:rPr>
        <w:t xml:space="preserve"> </w:t>
      </w:r>
      <w:proofErr w:type="spellStart"/>
      <w:r w:rsidRPr="00F64F2E">
        <w:rPr>
          <w:i/>
          <w:iCs/>
          <w:lang w:val="en-US"/>
        </w:rPr>
        <w:t>ekonomistas</w:t>
      </w:r>
      <w:proofErr w:type="spellEnd"/>
    </w:p>
    <w:p w14:paraId="5F63F89B" w14:textId="1A3A1750" w:rsidR="00F64F2E" w:rsidRDefault="00F64F2E" w:rsidP="00A17EBE">
      <w:pPr>
        <w:jc w:val="both"/>
      </w:pPr>
      <w:r>
        <w:t>Rugsėjį metinė infliacija Lietuvoje pasiekė net 6,7 proc</w:t>
      </w:r>
      <w:r w:rsidRPr="00F64F2E">
        <w:t xml:space="preserve">. </w:t>
      </w:r>
      <w:r>
        <w:t>Būsto paskolą</w:t>
      </w:r>
      <w:r w:rsidRPr="00F64F2E">
        <w:t xml:space="preserve"> turin</w:t>
      </w:r>
      <w:r w:rsidR="00271EF1">
        <w:t>tiems gyventojams</w:t>
      </w:r>
      <w:r w:rsidRPr="00F64F2E">
        <w:t xml:space="preserve"> prie </w:t>
      </w:r>
      <w:r w:rsidR="00C163D7">
        <w:t>didėjančių išlaidų</w:t>
      </w:r>
      <w:r w:rsidRPr="00F64F2E">
        <w:t xml:space="preserve"> prek</w:t>
      </w:r>
      <w:r w:rsidR="00C163D7">
        <w:t>ėms</w:t>
      </w:r>
      <w:r w:rsidRPr="00F64F2E">
        <w:t xml:space="preserve"> ir paslaug</w:t>
      </w:r>
      <w:r w:rsidR="00C163D7">
        <w:t>oms</w:t>
      </w:r>
      <w:r w:rsidRPr="00F64F2E">
        <w:t xml:space="preserve"> gali prisidėti didesnė įmoka: spalio 29 d. Europos Centrinis Bankas (ECB) spręs, ar dar kartą kelti palūkanas. </w:t>
      </w:r>
      <w:r w:rsidR="00271EF1">
        <w:t>Daug kam</w:t>
      </w:r>
      <w:r w:rsidRPr="00F64F2E">
        <w:t xml:space="preserve"> tai reikštų dvigubą spaudimą, ypač jeigu pajamos nespėja augti kartu su išlaidomis.</w:t>
      </w:r>
    </w:p>
    <w:p w14:paraId="39FF9D12" w14:textId="2E0B6834" w:rsidR="00EA4C3F" w:rsidRPr="00EA4C3F" w:rsidRDefault="00EA4C3F" w:rsidP="00A17EBE">
      <w:pPr>
        <w:jc w:val="both"/>
        <w:rPr>
          <w:b/>
          <w:bCs/>
        </w:rPr>
      </w:pPr>
      <w:r>
        <w:rPr>
          <w:b/>
          <w:bCs/>
        </w:rPr>
        <w:t>Šiemet palūkanos tikrai kils dar bent kartą</w:t>
      </w:r>
    </w:p>
    <w:p w14:paraId="19454BD8" w14:textId="419D1EF2" w:rsidR="00F64F2E" w:rsidRPr="00F64F2E" w:rsidRDefault="00F64F2E" w:rsidP="00A17EBE">
      <w:pPr>
        <w:jc w:val="both"/>
      </w:pPr>
      <w:r>
        <w:t xml:space="preserve">„Reuters“ apklausoje 70 iš 73 </w:t>
      </w:r>
      <w:r w:rsidR="00B877F1">
        <w:t xml:space="preserve">apklaustų </w:t>
      </w:r>
      <w:r>
        <w:t>ekonomistų tikisi, kad spalį ECB palūkanų dar nedidins, tačiau net 64 iš jų mano, kad palūkanos bus didinamos gruodį.</w:t>
      </w:r>
      <w:r w:rsidRPr="00F64F2E">
        <w:t xml:space="preserve"> Vis dėlto pats tikėčiausi didinimo</w:t>
      </w:r>
      <w:r>
        <w:t xml:space="preserve"> jau dabar</w:t>
      </w:r>
      <w:r w:rsidRPr="00F64F2E">
        <w:t>: ECB indėlių galimybės palūkanų norma tuomet pakiltų nuo 2,5 iki 2,75 proc.</w:t>
      </w:r>
    </w:p>
    <w:p w14:paraId="127B68C6" w14:textId="5B539EC6" w:rsidR="00F64F2E" w:rsidRPr="00F64F2E" w:rsidRDefault="00F64F2E" w:rsidP="00A17EBE">
      <w:pPr>
        <w:jc w:val="both"/>
      </w:pPr>
      <w:r w:rsidRPr="00F64F2E">
        <w:t>Argumentų tam netrūksta. Euro zonoje rugsėjo metinė infliacija preliminariai pasiekė 3,8 proc.</w:t>
      </w:r>
      <w:r>
        <w:t xml:space="preserve"> – </w:t>
      </w:r>
      <w:r w:rsidR="00B877F1">
        <w:t xml:space="preserve">gerokai </w:t>
      </w:r>
      <w:r>
        <w:t xml:space="preserve">mažiau nei Lietuvoje, bet vis dar </w:t>
      </w:r>
      <w:r w:rsidRPr="00F64F2E">
        <w:t>gerokai virš</w:t>
      </w:r>
      <w:r>
        <w:t>ijami</w:t>
      </w:r>
      <w:r w:rsidRPr="00F64F2E">
        <w:t xml:space="preserve"> ECB siekiam</w:t>
      </w:r>
      <w:r>
        <w:t>i</w:t>
      </w:r>
      <w:r w:rsidRPr="00F64F2E">
        <w:t xml:space="preserve"> 2 proc. </w:t>
      </w:r>
      <w:r>
        <w:t>Vien e</w:t>
      </w:r>
      <w:r w:rsidRPr="00F64F2E">
        <w:t>nergija per metus pabrango 18,8 proc.</w:t>
      </w:r>
      <w:r>
        <w:t>, o i</w:t>
      </w:r>
      <w:r w:rsidRPr="00F64F2E">
        <w:t>lgai išliekanti brangi energija palaipsniui persiduoda kitoms kainoms</w:t>
      </w:r>
      <w:r w:rsidR="00B877F1">
        <w:t>.</w:t>
      </w:r>
      <w:r>
        <w:t xml:space="preserve"> </w:t>
      </w:r>
      <w:r w:rsidR="00B877F1">
        <w:t>P</w:t>
      </w:r>
      <w:r>
        <w:t>avyzdžiui,</w:t>
      </w:r>
      <w:r w:rsidRPr="00F64F2E">
        <w:t xml:space="preserve"> brangesnės dujos didina trąšų gamybos sąnaudas, o šios vėliau gali atsispindėti maisto kainose.</w:t>
      </w:r>
    </w:p>
    <w:p w14:paraId="236F3C76" w14:textId="459B9CE1" w:rsidR="00F64F2E" w:rsidRPr="00F64F2E" w:rsidRDefault="00F64F2E" w:rsidP="00A17EBE">
      <w:pPr>
        <w:jc w:val="both"/>
      </w:pPr>
      <w:r w:rsidRPr="00F64F2E">
        <w:t>Tačiau yra pagrindo ir palaukti. Infliacija be energijos, maisto, alkoholio ir tabako rugsėjį siekė 2,5 proc., palyginti su 2,4 proc. rugpjūtį. Didžiausias kainų spaudimas kol kas energetiko</w:t>
      </w:r>
      <w:r w:rsidR="00B877F1">
        <w:t>s sektoriuje</w:t>
      </w:r>
      <w:r w:rsidRPr="00F64F2E">
        <w:t>. Be to, ECB šiemet prognozuoja vos 0,9 proc. euro zonos ekonomikos augimą</w:t>
      </w:r>
      <w:r w:rsidR="00271EF1">
        <w:t xml:space="preserve">, nors verta pastebėti, kad ECB nėra JAV </w:t>
      </w:r>
      <w:r w:rsidR="00B877F1">
        <w:t>federalinė rezervų sistema (</w:t>
      </w:r>
      <w:r w:rsidR="00271EF1">
        <w:t>FED</w:t>
      </w:r>
      <w:r w:rsidR="00B877F1">
        <w:t>)</w:t>
      </w:r>
      <w:r w:rsidR="00271EF1">
        <w:t xml:space="preserve">, ir ekonomikos augimas priimant sprendimus čia turi </w:t>
      </w:r>
      <w:r w:rsidR="00C163D7">
        <w:t xml:space="preserve">gerokai </w:t>
      </w:r>
      <w:r w:rsidR="00271EF1">
        <w:t>mažesnę reikšmę nei infliacijos statistika.</w:t>
      </w:r>
    </w:p>
    <w:p w14:paraId="7D6F4E1C" w14:textId="518F8091" w:rsidR="00F64F2E" w:rsidRPr="00F64F2E" w:rsidRDefault="00F64F2E" w:rsidP="00A17EBE">
      <w:pPr>
        <w:jc w:val="both"/>
      </w:pPr>
      <w:r w:rsidRPr="00F64F2E">
        <w:t xml:space="preserve">Todėl </w:t>
      </w:r>
      <w:r w:rsidR="00271EF1">
        <w:t xml:space="preserve">pirmiausia </w:t>
      </w:r>
      <w:r w:rsidRPr="00F64F2E">
        <w:t xml:space="preserve">stebėčiau paslaugų kainas, atlyginimų dinamiką ir infliacijos lūkesčius. </w:t>
      </w:r>
      <w:r w:rsidR="00271EF1">
        <w:t>P</w:t>
      </w:r>
      <w:r w:rsidRPr="00F64F2E">
        <w:t xml:space="preserve">aslaugų brangimas ir kylantys lūkesčiai stiprintų argumentus kelti palūkanas. Silpnėjantis vartojimas ir prastėjantys verslo aktyvumo rodikliai, priešingai, rodytų, kad brangi energija pati jau slopina paklausą. </w:t>
      </w:r>
    </w:p>
    <w:p w14:paraId="69DC9393" w14:textId="0FBE71FA" w:rsidR="00271EF1" w:rsidRDefault="00F64F2E" w:rsidP="00A17EBE">
      <w:pPr>
        <w:jc w:val="both"/>
      </w:pPr>
      <w:r w:rsidRPr="00271EF1">
        <w:rPr>
          <w:b/>
          <w:bCs/>
        </w:rPr>
        <w:t xml:space="preserve">Palūkanų norma laivų per </w:t>
      </w:r>
      <w:proofErr w:type="spellStart"/>
      <w:r w:rsidRPr="00271EF1">
        <w:rPr>
          <w:b/>
          <w:bCs/>
        </w:rPr>
        <w:t>Horm</w:t>
      </w:r>
      <w:r w:rsidR="00C163D7">
        <w:rPr>
          <w:b/>
          <w:bCs/>
        </w:rPr>
        <w:t>u</w:t>
      </w:r>
      <w:r w:rsidRPr="00271EF1">
        <w:rPr>
          <w:b/>
          <w:bCs/>
        </w:rPr>
        <w:t>zo</w:t>
      </w:r>
      <w:proofErr w:type="spellEnd"/>
      <w:r w:rsidRPr="00271EF1">
        <w:rPr>
          <w:b/>
          <w:bCs/>
        </w:rPr>
        <w:t xml:space="preserve"> sąsiaurį nepra</w:t>
      </w:r>
      <w:r w:rsidR="00C163D7">
        <w:rPr>
          <w:b/>
          <w:bCs/>
        </w:rPr>
        <w:t>plukdys</w:t>
      </w:r>
    </w:p>
    <w:p w14:paraId="321480CF" w14:textId="02D824CC" w:rsidR="00F64F2E" w:rsidRPr="00F64F2E" w:rsidRDefault="00271EF1" w:rsidP="00A17EBE">
      <w:pPr>
        <w:jc w:val="both"/>
      </w:pPr>
      <w:r>
        <w:t xml:space="preserve">Svarbu suprasti ir tai, kad </w:t>
      </w:r>
      <w:r w:rsidR="00F64F2E" w:rsidRPr="00F64F2E">
        <w:t>ECB negali atkurti naftos tiekimo, tačiau gali sumažinti galimybes ir norą skolintis bei išlaidauti. Daugiau sumokėję už energiją ir paskol</w:t>
      </w:r>
      <w:r w:rsidR="00F64F2E">
        <w:t>as</w:t>
      </w:r>
      <w:r w:rsidR="00F64F2E" w:rsidRPr="00F64F2E">
        <w:t>, žmonės mažiau išleidžia kitur. Įmonėms tampa sunkiau didinti kainas, o silpnesnė paklausa riboja energijos šoko plitimą. Šios politikos kaina yra mažesnis vartojimas ir investicijos</w:t>
      </w:r>
      <w:r w:rsidR="00A17EBE">
        <w:t>, tačiau ECB tai žino.</w:t>
      </w:r>
    </w:p>
    <w:p w14:paraId="579E49C2" w14:textId="5F96F302" w:rsidR="00F64F2E" w:rsidRPr="00F64F2E" w:rsidRDefault="00F64F2E" w:rsidP="00A17EBE">
      <w:pPr>
        <w:jc w:val="both"/>
      </w:pPr>
      <w:r w:rsidRPr="00F64F2E">
        <w:t xml:space="preserve">Problema ta, kad ekonominiai duomenys skelbiami </w:t>
      </w:r>
      <w:r w:rsidR="00B877F1">
        <w:t>pavėluotai</w:t>
      </w:r>
      <w:r w:rsidRPr="00F64F2E">
        <w:t>, o palūkanų pakeitim</w:t>
      </w:r>
      <w:r w:rsidR="00C163D7">
        <w:t>o</w:t>
      </w:r>
      <w:r w:rsidRPr="00F64F2E">
        <w:t xml:space="preserve"> poveikis išryškėja dar vėliau. Laukdamas aiškaus infliacijos įsitvirtinimo patvirtinimo, </w:t>
      </w:r>
      <w:r w:rsidR="00C163D7">
        <w:t>ECB</w:t>
      </w:r>
      <w:r w:rsidRPr="00F64F2E">
        <w:t xml:space="preserve"> rizikuoja sureaguoti per vėlai</w:t>
      </w:r>
      <w:r w:rsidR="00271EF1">
        <w:t xml:space="preserve"> – jau esame tai matę</w:t>
      </w:r>
      <w:r w:rsidRPr="00F64F2E">
        <w:t>. Tačiau</w:t>
      </w:r>
      <w:r w:rsidR="00C163D7">
        <w:t>,</w:t>
      </w:r>
      <w:r w:rsidRPr="00F64F2E">
        <w:t xml:space="preserve"> keliant palūkanas</w:t>
      </w:r>
      <w:r w:rsidR="00C163D7">
        <w:t>,</w:t>
      </w:r>
      <w:r w:rsidRPr="00F64F2E">
        <w:t xml:space="preserve"> būtina įvertinti ir dar nepasireiškusį ankstesnių sprendimų poveikį.</w:t>
      </w:r>
    </w:p>
    <w:p w14:paraId="6E807908" w14:textId="0933FB84" w:rsidR="00F64F2E" w:rsidRPr="00F64F2E" w:rsidRDefault="00F64F2E" w:rsidP="00A17EBE">
      <w:pPr>
        <w:jc w:val="both"/>
      </w:pPr>
      <w:r w:rsidRPr="00F64F2E">
        <w:t>Lietuvoje</w:t>
      </w:r>
      <w:r>
        <w:t xml:space="preserve"> </w:t>
      </w:r>
      <w:r w:rsidRPr="00F64F2E">
        <w:t>ši</w:t>
      </w:r>
      <w:r w:rsidR="00B877F1">
        <w:t>ų</w:t>
      </w:r>
      <w:r w:rsidRPr="00F64F2E">
        <w:t xml:space="preserve"> sprendim</w:t>
      </w:r>
      <w:r w:rsidR="00B877F1">
        <w:t>ų</w:t>
      </w:r>
      <w:r w:rsidRPr="00F64F2E">
        <w:t xml:space="preserve"> </w:t>
      </w:r>
      <w:r w:rsidR="00B877F1">
        <w:t xml:space="preserve">poveikis </w:t>
      </w:r>
      <w:r>
        <w:t xml:space="preserve">labiausiai </w:t>
      </w:r>
      <w:r w:rsidR="00B877F1">
        <w:t>juntamas</w:t>
      </w:r>
      <w:r w:rsidR="00B877F1" w:rsidRPr="00F64F2E">
        <w:t xml:space="preserve"> </w:t>
      </w:r>
      <w:r w:rsidRPr="00F64F2E">
        <w:t>per EURIBOR. Jis gali keistis dar iki ECB posėdžio reaguodamas į lūkesčius, o konkreti įmoka perskaičiuojama sutartyje nustatytu metu, paprastai kas 3, 6 arba 12 mėnesių.</w:t>
      </w:r>
    </w:p>
    <w:p w14:paraId="51B014C7" w14:textId="77777777" w:rsidR="00F64F2E" w:rsidRDefault="00F64F2E" w:rsidP="00A17EBE">
      <w:pPr>
        <w:jc w:val="both"/>
      </w:pPr>
      <w:r w:rsidRPr="00F64F2E">
        <w:t>Pavyzdžiui, turint 100 tūkst. eurų paskolos likutį ir 25 metų likusį terminą, bendroms metinėms palūkanoms pakilus nuo 4 iki 4,25 proc., anuiteto įmoka padidėtų nuo maždaug 528 iki 542 eurų. Pakilus iki 5 proc., ji siektų apie 585 eurus. Papildomi 57 eurai kas mėnesį tektų tam pačiam biudžetui, iš kurio jau mokama už pabrangusias būtiniausias prekes.</w:t>
      </w:r>
    </w:p>
    <w:p w14:paraId="141127A8" w14:textId="52A836BE" w:rsidR="00271EF1" w:rsidRPr="00271EF1" w:rsidRDefault="00271EF1" w:rsidP="00A17EBE">
      <w:pPr>
        <w:jc w:val="both"/>
        <w:rPr>
          <w:b/>
          <w:bCs/>
        </w:rPr>
      </w:pPr>
      <w:r>
        <w:rPr>
          <w:b/>
          <w:bCs/>
        </w:rPr>
        <w:lastRenderedPageBreak/>
        <w:t>Labiausiai pažeidžiamos – skurdžiausios ir didžiausias paskolas turinčios šeimos</w:t>
      </w:r>
    </w:p>
    <w:p w14:paraId="6B19ED48" w14:textId="28480441" w:rsidR="00F64F2E" w:rsidRPr="00F64F2E" w:rsidRDefault="00271EF1" w:rsidP="00A17EBE">
      <w:pPr>
        <w:jc w:val="both"/>
      </w:pPr>
      <w:r>
        <w:t xml:space="preserve">Kaip ir daugeliu kitų atvejų, </w:t>
      </w:r>
      <w:proofErr w:type="spellStart"/>
      <w:r>
        <w:t>p</w:t>
      </w:r>
      <w:r w:rsidR="00F64F2E" w:rsidRPr="00F64F2E">
        <w:t>ažeidžiamiausios</w:t>
      </w:r>
      <w:proofErr w:type="spellEnd"/>
      <w:r w:rsidR="00F64F2E" w:rsidRPr="00F64F2E">
        <w:t xml:space="preserve"> </w:t>
      </w:r>
      <w:r w:rsidR="00C163D7">
        <w:t>yra</w:t>
      </w:r>
      <w:r w:rsidR="00F64F2E" w:rsidRPr="00F64F2E">
        <w:t xml:space="preserve"> </w:t>
      </w:r>
      <w:r w:rsidR="00C163D7">
        <w:t xml:space="preserve">šeimos, </w:t>
      </w:r>
      <w:r w:rsidR="00F64F2E" w:rsidRPr="00F64F2E">
        <w:t xml:space="preserve">turinčios mažai santaupų ir didelę pajamų dalį skiriančios maistui, būstui bei </w:t>
      </w:r>
      <w:r>
        <w:t>paskoloms</w:t>
      </w:r>
      <w:r w:rsidR="00F64F2E" w:rsidRPr="00F64F2E">
        <w:t xml:space="preserve">. </w:t>
      </w:r>
      <w:r>
        <w:t>Tiesa, d</w:t>
      </w:r>
      <w:r w:rsidR="00F64F2E" w:rsidRPr="00F64F2E">
        <w:t xml:space="preserve">idesnės pajamos savaime neapsaugo, jeigu kartu prisiimta didelė paskola. </w:t>
      </w:r>
    </w:p>
    <w:p w14:paraId="557AF92D" w14:textId="77777777" w:rsidR="00271EF1" w:rsidRDefault="00F64F2E" w:rsidP="00A17EBE">
      <w:pPr>
        <w:jc w:val="both"/>
      </w:pPr>
      <w:r w:rsidRPr="00F64F2E">
        <w:t>Taupantieji gali sulaukti didesnių indėlių palūkanų, tačiau jų kilimas nebūtinai bus toks spartus kaip EURIBOR. Daug priklauso nuo bankų poreikio pritraukti lėšų ir konkurencijos. Be to, didesnis uždarbis eurais dar negarantuoja išsaugotos perkamosios galios.</w:t>
      </w:r>
    </w:p>
    <w:p w14:paraId="5CB0DEF0" w14:textId="0EE487D6" w:rsidR="00F64F2E" w:rsidRDefault="00271EF1" w:rsidP="00A17EBE">
      <w:pPr>
        <w:jc w:val="both"/>
      </w:pPr>
      <w:r>
        <w:t xml:space="preserve">Nesunku </w:t>
      </w:r>
      <w:r w:rsidR="00C163D7">
        <w:t>ap</w:t>
      </w:r>
      <w:r>
        <w:t>skaičiuoti</w:t>
      </w:r>
      <w:r w:rsidR="00C163D7">
        <w:t>:</w:t>
      </w:r>
      <w:r>
        <w:t xml:space="preserve"> j</w:t>
      </w:r>
      <w:r w:rsidR="00F64F2E" w:rsidRPr="00F64F2E">
        <w:t xml:space="preserve">eigu indėlis per metus uždirbtų 3 proc., o kainos per tą patį laikotarpį </w:t>
      </w:r>
      <w:r w:rsidR="00A75DB1">
        <w:t>kyla</w:t>
      </w:r>
      <w:r w:rsidR="00F64F2E" w:rsidRPr="00F64F2E">
        <w:t xml:space="preserve"> 6 proc., reali santaupų vertė, nevertinant mokesčių, </w:t>
      </w:r>
      <w:r w:rsidR="00A75DB1">
        <w:t>vis tiek mažėja</w:t>
      </w:r>
      <w:r w:rsidR="00F64F2E" w:rsidRPr="00F64F2E">
        <w:t xml:space="preserve"> apie 2,8 proc.</w:t>
      </w:r>
    </w:p>
    <w:p w14:paraId="4E75D75D" w14:textId="7F46B961" w:rsidR="00271EF1" w:rsidRPr="00F64F2E" w:rsidRDefault="00A17EBE" w:rsidP="00A17EBE">
      <w:pPr>
        <w:jc w:val="both"/>
      </w:pPr>
      <w:r>
        <w:t>Be to</w:t>
      </w:r>
      <w:r w:rsidR="00271EF1">
        <w:t xml:space="preserve">, verta pasižiūrėti į santaupų statistiką, kurioje galima matyti, kad didžioji dalis santaupų priklauso turtingiausiems 20 proc. </w:t>
      </w:r>
      <w:r w:rsidR="00B877F1">
        <w:t>N</w:t>
      </w:r>
      <w:r w:rsidR="00271EF1">
        <w:t>emaža dalis gyventojų santaupų apskritai</w:t>
      </w:r>
      <w:r w:rsidR="00B877F1" w:rsidRPr="00B877F1">
        <w:t xml:space="preserve"> </w:t>
      </w:r>
      <w:r w:rsidR="00B877F1">
        <w:t>neturi</w:t>
      </w:r>
      <w:r>
        <w:t>, o kylanti infliacija bei EURIBOR būtent juos paveikia labiausiai.</w:t>
      </w:r>
    </w:p>
    <w:p w14:paraId="047E9C72" w14:textId="35EEDB1E" w:rsidR="00EA4C3F" w:rsidRDefault="00A17EBE" w:rsidP="00A17EBE">
      <w:pPr>
        <w:jc w:val="both"/>
      </w:pPr>
      <w:r>
        <w:t>Tad p</w:t>
      </w:r>
      <w:r w:rsidR="00F64F2E" w:rsidRPr="00F64F2E">
        <w:t xml:space="preserve">rieš artimiausią palūkanų perskaičiavimą verta įvertinti, kiek biudžete liktų pinigų įmokai padidėjus. Sprendžiant dėl išankstinio </w:t>
      </w:r>
      <w:r>
        <w:t xml:space="preserve">paskolos </w:t>
      </w:r>
      <w:r w:rsidR="00F64F2E" w:rsidRPr="00F64F2E">
        <w:t>grąžinimo</w:t>
      </w:r>
      <w:r w:rsidR="00C163D7">
        <w:t>,</w:t>
      </w:r>
      <w:r w:rsidR="00F64F2E" w:rsidRPr="00F64F2E">
        <w:t xml:space="preserve"> svarbu palyginti sutaupomas palūkanas su galimais mokesčiais ir išsaugoti rezervą nenumatytoms išlaidoms. Šeimos finansų atsparumas neturėtų priklausyti nuo to, ar pavyks atspėti vieno ECB posėdžio rezultatą.</w:t>
      </w:r>
    </w:p>
    <w:sectPr w:rsidR="00EA4C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2E"/>
    <w:rsid w:val="00271EF1"/>
    <w:rsid w:val="0077770E"/>
    <w:rsid w:val="00A17EBE"/>
    <w:rsid w:val="00A66476"/>
    <w:rsid w:val="00A75DB1"/>
    <w:rsid w:val="00B25FA4"/>
    <w:rsid w:val="00B57906"/>
    <w:rsid w:val="00B877F1"/>
    <w:rsid w:val="00C163D7"/>
    <w:rsid w:val="00D36239"/>
    <w:rsid w:val="00D818AB"/>
    <w:rsid w:val="00EA4C3F"/>
    <w:rsid w:val="00F64F2E"/>
    <w:rsid w:val="00FB00C8"/>
    <w:rsid w:val="00FF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B2C26"/>
  <w15:docId w15:val="{A88B27E3-7D2E-4FF2-9826-365D3DB9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paragraph" w:styleId="Heading1">
    <w:name w:val="heading 1"/>
    <w:basedOn w:val="Normal"/>
    <w:next w:val="Normal"/>
    <w:link w:val="Heading1Char"/>
    <w:uiPriority w:val="9"/>
    <w:qFormat/>
    <w:rsid w:val="00F64F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4F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4F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4F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4F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4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F2E"/>
    <w:rPr>
      <w:rFonts w:asciiTheme="majorHAnsi" w:eastAsiaTheme="majorEastAsia" w:hAnsiTheme="majorHAnsi" w:cstheme="majorBidi"/>
      <w:color w:val="2F5496" w:themeColor="accent1" w:themeShade="BF"/>
      <w:sz w:val="40"/>
      <w:szCs w:val="40"/>
      <w:lang w:val="lt-LT"/>
    </w:rPr>
  </w:style>
  <w:style w:type="character" w:customStyle="1" w:styleId="Heading2Char">
    <w:name w:val="Heading 2 Char"/>
    <w:basedOn w:val="DefaultParagraphFont"/>
    <w:link w:val="Heading2"/>
    <w:uiPriority w:val="9"/>
    <w:semiHidden/>
    <w:rsid w:val="00F64F2E"/>
    <w:rPr>
      <w:rFonts w:asciiTheme="majorHAnsi" w:eastAsiaTheme="majorEastAsia" w:hAnsiTheme="majorHAnsi" w:cstheme="majorBidi"/>
      <w:color w:val="2F5496" w:themeColor="accent1" w:themeShade="BF"/>
      <w:sz w:val="32"/>
      <w:szCs w:val="32"/>
      <w:lang w:val="lt-LT"/>
    </w:rPr>
  </w:style>
  <w:style w:type="character" w:customStyle="1" w:styleId="Heading3Char">
    <w:name w:val="Heading 3 Char"/>
    <w:basedOn w:val="DefaultParagraphFont"/>
    <w:link w:val="Heading3"/>
    <w:uiPriority w:val="9"/>
    <w:semiHidden/>
    <w:rsid w:val="00F64F2E"/>
    <w:rPr>
      <w:rFonts w:eastAsiaTheme="majorEastAsia" w:cstheme="majorBidi"/>
      <w:color w:val="2F5496" w:themeColor="accent1" w:themeShade="BF"/>
      <w:sz w:val="28"/>
      <w:szCs w:val="28"/>
      <w:lang w:val="lt-LT"/>
    </w:rPr>
  </w:style>
  <w:style w:type="character" w:customStyle="1" w:styleId="Heading4Char">
    <w:name w:val="Heading 4 Char"/>
    <w:basedOn w:val="DefaultParagraphFont"/>
    <w:link w:val="Heading4"/>
    <w:uiPriority w:val="9"/>
    <w:semiHidden/>
    <w:rsid w:val="00F64F2E"/>
    <w:rPr>
      <w:rFonts w:eastAsiaTheme="majorEastAsia" w:cstheme="majorBidi"/>
      <w:i/>
      <w:iCs/>
      <w:color w:val="2F5496" w:themeColor="accent1" w:themeShade="BF"/>
      <w:lang w:val="lt-LT"/>
    </w:rPr>
  </w:style>
  <w:style w:type="character" w:customStyle="1" w:styleId="Heading5Char">
    <w:name w:val="Heading 5 Char"/>
    <w:basedOn w:val="DefaultParagraphFont"/>
    <w:link w:val="Heading5"/>
    <w:uiPriority w:val="9"/>
    <w:semiHidden/>
    <w:rsid w:val="00F64F2E"/>
    <w:rPr>
      <w:rFonts w:eastAsiaTheme="majorEastAsia" w:cstheme="majorBidi"/>
      <w:color w:val="2F5496" w:themeColor="accent1" w:themeShade="BF"/>
      <w:lang w:val="lt-LT"/>
    </w:rPr>
  </w:style>
  <w:style w:type="character" w:customStyle="1" w:styleId="Heading6Char">
    <w:name w:val="Heading 6 Char"/>
    <w:basedOn w:val="DefaultParagraphFont"/>
    <w:link w:val="Heading6"/>
    <w:uiPriority w:val="9"/>
    <w:semiHidden/>
    <w:rsid w:val="00F64F2E"/>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F64F2E"/>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F64F2E"/>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F64F2E"/>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F64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F2E"/>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F64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F2E"/>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F64F2E"/>
    <w:pPr>
      <w:spacing w:before="160"/>
      <w:jc w:val="center"/>
    </w:pPr>
    <w:rPr>
      <w:i/>
      <w:iCs/>
      <w:color w:val="404040" w:themeColor="text1" w:themeTint="BF"/>
    </w:rPr>
  </w:style>
  <w:style w:type="character" w:customStyle="1" w:styleId="QuoteChar">
    <w:name w:val="Quote Char"/>
    <w:basedOn w:val="DefaultParagraphFont"/>
    <w:link w:val="Quote"/>
    <w:uiPriority w:val="29"/>
    <w:rsid w:val="00F64F2E"/>
    <w:rPr>
      <w:i/>
      <w:iCs/>
      <w:color w:val="404040" w:themeColor="text1" w:themeTint="BF"/>
      <w:lang w:val="lt-LT"/>
    </w:rPr>
  </w:style>
  <w:style w:type="paragraph" w:styleId="ListParagraph">
    <w:name w:val="List Paragraph"/>
    <w:basedOn w:val="Normal"/>
    <w:uiPriority w:val="34"/>
    <w:qFormat/>
    <w:rsid w:val="00F64F2E"/>
    <w:pPr>
      <w:ind w:left="720"/>
      <w:contextualSpacing/>
    </w:pPr>
  </w:style>
  <w:style w:type="character" w:styleId="IntenseEmphasis">
    <w:name w:val="Intense Emphasis"/>
    <w:basedOn w:val="DefaultParagraphFont"/>
    <w:uiPriority w:val="21"/>
    <w:qFormat/>
    <w:rsid w:val="00F64F2E"/>
    <w:rPr>
      <w:i/>
      <w:iCs/>
      <w:color w:val="2F5496" w:themeColor="accent1" w:themeShade="BF"/>
    </w:rPr>
  </w:style>
  <w:style w:type="paragraph" w:styleId="IntenseQuote">
    <w:name w:val="Intense Quote"/>
    <w:basedOn w:val="Normal"/>
    <w:next w:val="Normal"/>
    <w:link w:val="IntenseQuoteChar"/>
    <w:uiPriority w:val="30"/>
    <w:qFormat/>
    <w:rsid w:val="00F64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4F2E"/>
    <w:rPr>
      <w:i/>
      <w:iCs/>
      <w:color w:val="2F5496" w:themeColor="accent1" w:themeShade="BF"/>
      <w:lang w:val="lt-LT"/>
    </w:rPr>
  </w:style>
  <w:style w:type="character" w:styleId="IntenseReference">
    <w:name w:val="Intense Reference"/>
    <w:basedOn w:val="DefaultParagraphFont"/>
    <w:uiPriority w:val="32"/>
    <w:qFormat/>
    <w:rsid w:val="00F64F2E"/>
    <w:rPr>
      <w:b/>
      <w:bCs/>
      <w:smallCaps/>
      <w:color w:val="2F5496" w:themeColor="accent1" w:themeShade="BF"/>
      <w:spacing w:val="5"/>
    </w:rPr>
  </w:style>
  <w:style w:type="paragraph" w:styleId="Revision">
    <w:name w:val="Revision"/>
    <w:hidden/>
    <w:uiPriority w:val="99"/>
    <w:semiHidden/>
    <w:rsid w:val="00D818AB"/>
    <w:pPr>
      <w:spacing w:after="0" w:line="240" w:lineRule="auto"/>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Murin</dc:creator>
  <cp:lastModifiedBy>Erik Murin</cp:lastModifiedBy>
  <cp:revision>2</cp:revision>
  <dcterms:created xsi:type="dcterms:W3CDTF">2026-10-23T05:21:00Z</dcterms:created>
  <dcterms:modified xsi:type="dcterms:W3CDTF">2026-10-23T05:21:00Z</dcterms:modified>
</cp:coreProperties>
</file>