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2026 10 </w:t>
      </w:r>
      <w:r w:rsidDel="00000000" w:rsidR="00000000" w:rsidRPr="00000000">
        <w:rPr>
          <w:rFonts w:ascii="Times New Roman" w:cs="Times New Roman" w:eastAsia="Times New Roman" w:hAnsi="Times New Roman"/>
          <w:b w:val="1"/>
          <w:bCs w:val="1"/>
          <w:rtl w:val="0"/>
        </w:rPr>
        <w:t xml:space="preserve">28</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Ar išnaudojate visas sulenkiamo telefono galimybes? Ekspertas atskleidė 5 naudingas funkcijas </w:t>
      </w:r>
    </w:p>
    <w:p w:rsidR="00000000" w:rsidDel="00000000" w:rsidP="00000000" w:rsidRDefault="00000000" w:rsidRPr="00000000" w14:paraId="00000004">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Pradėjote pildyti dokumentą telefone, bet teko persėsti prie kompiuterio? Pasirodo, taip nutinka daugeliui. 2026 m. atlikta apklausa parodė, kad 85 proc. penkių Europos šalių respondentų yra pradėję užduotį telefone, bet ją užbaigę didesniame ekrane. Sulenkiami išmanieji gali padėti šią problemą spręsti, tačiau jų galimybės gerokai platesnės. „Tele2“ inovacijų ekspertas Arnoldas Lukošius pasakoja, kaip telefoną paversti mažu darbo stalu, vertėju ar net žaidimų konsole.</w:t>
      </w:r>
    </w:p>
    <w:p w:rsidR="00000000" w:rsidDel="00000000" w:rsidP="00000000" w:rsidRDefault="00000000" w:rsidRPr="00000000" w14:paraId="00000006">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2026 m. „Censuswide“ atliktoje apklausoje beveik trečdalis jų nurodė, kad atliekant sudėtingesnes užduotis telefone trūksta vietos ekrane, o ketvirtadalį erzina nuolatinis programėlių perjunginėjimas.</w:t>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Sulenkiami telefonai vis dar sudaro nedidelę rinkos dalį. „Counterpoint Research“ duomenimis, tai – apie 2 proc. visų išmaniųjų telefonų. </w:t>
      </w: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„Sulenkiamą telefoną lengva naudoti kaip paprastą išmanųjį ir net nepastebėti, ką jis gali. Tačiau didesnis ekranas leidžia vienu metu atlikti kelis darbus, o pats lankstymas atveria galimybių, kurių įprastame telefone nėra. Verta skirti kelias minutes nustatymams – kai kurios funkcijos gali maloniai nustebinti“, – sako A. Lukošius.</w:t>
      </w:r>
    </w:p>
    <w:p w:rsidR="00000000" w:rsidDel="00000000" w:rsidP="00000000" w:rsidRDefault="00000000" w:rsidRPr="00000000" w14:paraId="0000000C">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Viename ekrane – keli darbai</w:t>
      </w:r>
    </w:p>
    <w:p w:rsidR="00000000" w:rsidDel="00000000" w:rsidP="00000000" w:rsidRDefault="00000000" w:rsidRPr="00000000" w14:paraId="0000000E">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Jei nuolat tenka junginėti el. laišką ir „Excel“ lentelę, verta išbandyti kelių langų režimą. Daugelyje sulenkiamų telefonų galima atidaryti dvi programėles greta, o kai kuriuose – ir daugiau.</w:t>
      </w:r>
    </w:p>
    <w:p w:rsidR="00000000" w:rsidDel="00000000" w:rsidP="00000000" w:rsidRDefault="00000000" w:rsidRPr="00000000" w14:paraId="0000001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Pavyzdžiui, vienoje ekrano pusėje galima matyti sąmatą, kitoje – laišką su kainomis. Planuojant kelionę patogu lyginti viešbučių pasiūlymus ir tikrinti jų vietą žemėlapyje.</w:t>
      </w:r>
    </w:p>
    <w:p w:rsidR="00000000" w:rsidDel="00000000" w:rsidP="00000000" w:rsidRDefault="00000000" w:rsidRPr="00000000" w14:paraId="0000001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Kai kuriuose įrenginiuose tekstą ar nuotraukas galima perkelti iš vienos programėlės į kitą tiesiog pirštu, todėl nereikia nuolat kopijuoti turinio ir junginėti langų.</w:t>
      </w:r>
    </w:p>
    <w:p w:rsidR="00000000" w:rsidDel="00000000" w:rsidP="00000000" w:rsidRDefault="00000000" w:rsidRPr="00000000" w14:paraId="0000001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Vertėjas, kuris kalba abiem pusėms</w:t>
      </w:r>
    </w:p>
    <w:p w:rsidR="00000000" w:rsidDel="00000000" w:rsidP="00000000" w:rsidRDefault="00000000" w:rsidRPr="00000000" w14:paraId="00000016">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Užsienyje bandote susikalbėti su žmogumi, kuris nemoka jūsų kalbos? Kai kuriuose sulenkiamuose telefonuose galima išnaudoti abu ekranus: viename matote savo žodžius, kitame pašnekovas skaito jų vertimą.</w:t>
      </w:r>
    </w:p>
    <w:p w:rsidR="00000000" w:rsidDel="00000000" w:rsidP="00000000" w:rsidRDefault="00000000" w:rsidRPr="00000000" w14:paraId="0000001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Pavyzdžiui, tam tikruose įrenginiuose „Google Translate“ turi dviejų ekranų pokalbio režimą. Atlenkus telefoną, vertimas rodomas išoriniame ekrane, o originalus tekstas – vidiniame.</w:t>
      </w:r>
    </w:p>
    <w:p w:rsidR="00000000" w:rsidDel="00000000" w:rsidP="00000000" w:rsidRDefault="00000000" w:rsidRPr="00000000" w14:paraId="0000001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Taip kelionėje nereikia nuolat sukioti telefono. Tiesa, vertimo galimybės ir palaikomos kalbos priklauso nuo įrenginio bei programėlės.</w:t>
      </w:r>
    </w:p>
    <w:p w:rsidR="00000000" w:rsidDel="00000000" w:rsidP="00000000" w:rsidRDefault="00000000" w:rsidRPr="00000000" w14:paraId="0000001C">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Geresnės asmenukės be fotografo</w:t>
      </w:r>
    </w:p>
    <w:p w:rsidR="00000000" w:rsidDel="00000000" w:rsidP="00000000" w:rsidRDefault="00000000" w:rsidRPr="00000000" w14:paraId="0000001E">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Fotografuojantis įprastu telefonu dažniausiai tenka rinktis priekinę kamerą arba bandyti aklai fotografuoti galine. Sulenkiami telefonai siūlo kitą būdą.</w:t>
      </w:r>
    </w:p>
    <w:p w:rsidR="00000000" w:rsidDel="00000000" w:rsidP="00000000" w:rsidRDefault="00000000" w:rsidRPr="00000000" w14:paraId="0000002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Kai kuriuose įrenginiuose išorinis ekranas rodo galinės kameros vaizdą. Taip fotografuojamas žmogus mato save ir gali patikrinti, ar visi telpa kadre.</w:t>
      </w:r>
    </w:p>
    <w:p w:rsidR="00000000" w:rsidDel="00000000" w:rsidP="00000000" w:rsidRDefault="00000000" w:rsidRPr="00000000" w14:paraId="0000002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Dar vienas triukas – sulenkti telefoną pusiau ir pastatyti ant stalo. Įjungus laikmatį galima nusifotografuoti visai grupei be laikiklio. Kai kuriuose įrenginiuose nuotrauką galima padaryti ir parodžius delną.</w:t>
      </w:r>
    </w:p>
    <w:p w:rsidR="00000000" w:rsidDel="00000000" w:rsidP="00000000" w:rsidRDefault="00000000" w:rsidRPr="00000000" w14:paraId="0000002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„Fotografuojant svarbu ne tik kameros nustatymai, bet ir tai, kaip patogiai galite pastatyti telefoną bei matyti kadrą. Sulenkiamas įrenginys leidžia išbandyti kitokius fotografavimo kampus, o išorinis ekranas padeda išvengti nepavykusių asmenukių“, – sako „Tele2“ ekspertas.</w:t>
      </w:r>
    </w:p>
    <w:p w:rsidR="00000000" w:rsidDel="00000000" w:rsidP="00000000" w:rsidRDefault="00000000" w:rsidRPr="00000000" w14:paraId="00000026">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Telefonas vietoj mažo nešiojamojo kompiuterio</w:t>
      </w:r>
    </w:p>
    <w:p w:rsidR="00000000" w:rsidDel="00000000" w:rsidP="00000000" w:rsidRDefault="00000000" w:rsidRPr="00000000" w14:paraId="00000028">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Pusiau sulenktas telefonas gali būti naudingas ne tik fotografuojant. Kai kuriuose įrenginiuose viršutinėje ekrano dalyje rodomas vaizdo įrašas ar dokumentas, o apatinėje – valdymo mygtukai.</w:t>
      </w:r>
    </w:p>
    <w:p w:rsidR="00000000" w:rsidDel="00000000" w:rsidP="00000000" w:rsidRDefault="00000000" w:rsidRPr="00000000" w14:paraId="0000002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Dalyje įrenginių apatinė ekrano pusė gali veikti ir kaip kompiuterio jutiklinis kilimėlis. Pirštu judinant žymeklį galima valdyti viršuje atidarytą programėlę.</w:t>
      </w:r>
    </w:p>
    <w:p w:rsidR="00000000" w:rsidDel="00000000" w:rsidP="00000000" w:rsidRDefault="00000000" w:rsidRPr="00000000" w14:paraId="0000002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Tai praverčia žiūrint vaizdo įrašus, skaitant dokumentus ar naudojantis keliomis programėlėmis. Papildomos pelės ar telefono stovo nereikia.</w:t>
      </w:r>
    </w:p>
    <w:p w:rsidR="00000000" w:rsidDel="00000000" w:rsidP="00000000" w:rsidRDefault="00000000" w:rsidRPr="00000000" w14:paraId="0000002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Žaidimai, kuriuos valdote lankstydami ekraną</w:t>
      </w:r>
    </w:p>
    <w:p w:rsidR="00000000" w:rsidDel="00000000" w:rsidP="00000000" w:rsidRDefault="00000000" w:rsidRPr="00000000" w14:paraId="00000030">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Sulenkiami telefonai siūlo ir neįprastų pramogų. Pavyzdžiui, „PianoFold“ – ritminis žaidimas, kuriame svarbu ne tik spausti ekraną, bet ir keisti telefono padėtį. Pirmuosius skyrius galima išbandyti nemokamai.</w:t>
      </w:r>
    </w:p>
    <w:p w:rsidR="00000000" w:rsidDel="00000000" w:rsidP="00000000" w:rsidRDefault="00000000" w:rsidRPr="00000000" w14:paraId="0000003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„Battlefleet Duo“ leidžia dviese žaisti jūrų mūšį, naudojantis atskiromis ekrano pusėmis. Nemokamai galima sužaisti ribotą skaičių partijų.</w:t>
      </w:r>
    </w:p>
    <w:p w:rsidR="00000000" w:rsidDel="00000000" w:rsidP="00000000" w:rsidRDefault="00000000" w:rsidRPr="00000000" w14:paraId="0000003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nemokama „Delta Emulator“ leidžia prisiminti senąsias žaidimų konsoles. Suderinamuose įrenginiuose vienoje ekrano dalyje rodomas žaidimas, kitoje – valdymo mygtukai. Žaidimų failus būtina turėti teisėtai.</w:t>
      </w:r>
    </w:p>
    <w:p w:rsidR="00000000" w:rsidDel="00000000" w:rsidP="00000000" w:rsidRDefault="00000000" w:rsidRPr="00000000" w14:paraId="0000003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„Sulenkiamo telefono galimybes geriausia atrasti bandant. Vieniems pravers du langai darbui, kitiems – vertimas kelionėje ar patogesnis fotografavimas. Tačiau ne visos funkcijos veikia kiekviename telefone, todėl verta patikrinti savo įrenginio nustatymus“, – apibendrina A. Lukošius.</w:t>
      </w:r>
    </w:p>
    <w:p w:rsidR="00000000" w:rsidDel="00000000" w:rsidP="00000000" w:rsidRDefault="00000000" w:rsidRPr="00000000" w14:paraId="00000038">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9">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A">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3B">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3C">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3D">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3E">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7" w:type="default"/>
      <w:footerReference r:id="rId8"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-923921</wp:posOffset>
              </wp:positionH>
              <wp:positionV relativeFrom="paragraph">
                <wp:posOffset>115050</wp:posOffset>
              </wp:positionV>
              <wp:extent cx="7575550" cy="292100"/>
              <wp:effectExtent b="0" l="0" r="0" t="0"/>
              <wp:wrapNone/>
              <wp:docPr descr="{&quot;HashCode&quot;:-639942987,&quot;Height&quot;:842.0,&quot;Width&quot;:595.0,&quot;Placement&quot;:&quot;Footer&quot;,&quot;Index&quot;:&quot;Primary&quot;,&quot;Section&quot;:1,&quot;Top&quot;:0.0,&quot;Left&quot;:0.0}" id="9"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-923921</wp:posOffset>
              </wp:positionH>
              <wp:positionV relativeFrom="paragraph">
                <wp:posOffset>115050</wp:posOffset>
              </wp:positionV>
              <wp:extent cx="7575550" cy="292100"/>
              <wp:effectExtent b="0" l="0" r="0" t="0"/>
              <wp:wrapNone/>
              <wp:docPr descr="{&quot;HashCode&quot;:-639942987,&quot;Height&quot;:842.0,&quot;Width&quot;:595.0,&quot;Placement&quot;:&quot;Footer&quot;,&quot;Index&quot;:&quot;Primary&quot;,&quot;Section&quot;:1,&quot;Top&quot;:0.0,&quot;Left&quot;:0.0}" id="9"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75550" cy="292100"/>
                      </a:xfrm>
                      <a:prstGeom prst="rect"/>
                      <a:ln/>
                    </pic:spPr>
                  </pic:pic>
                </a:graphicData>
              </a:graphic>
            </wp:anchor>
          </w:drawing>
        </mc:Fallback>
      </mc:AlternateContent>
    </w:r>
  </w:p>
  <w:p w:rsidR="00000000" w:rsidDel="00000000" w:rsidP="00000000" w:rsidRDefault="00000000" w:rsidRPr="00000000" w14:paraId="00000041">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-266063</wp:posOffset>
          </wp:positionV>
          <wp:extent cx="1046191" cy="557969"/>
          <wp:effectExtent b="0" l="0" r="0" t="0"/>
          <wp:wrapNone/>
          <wp:docPr id="1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Numatytasispastraiposriftas" w:default="1">
    <w:name w:val="Default Paragraph Font"/>
    <w:uiPriority w:val="1"/>
    <w:semiHidden w:val="1"/>
    <w:unhideWhenUsed w:val="1"/>
  </w:style>
  <w:style w:type="table" w:styleId="prastojilentel" w:default="1">
    <w:name w:val="Normal Table"/>
    <w:uiPriority w:val="99"/>
    <w:semiHidden w:val="1"/>
    <w:unhideWhenUsed w:val="1"/>
    <w:tblPr>
      <w:tblInd w:w="0.0" w:type="dxa"/>
      <w:tblCellMar>
        <w:top w:w="0.0" w:type="dxa"/>
        <w:left w:w="108.0" w:type="dxa"/>
        <w:bottom w:w="0.0" w:type="dxa"/>
        <w:right w:w="108.0" w:type="dxa"/>
      </w:tblCellMar>
    </w:tblPr>
  </w:style>
  <w:style w:type="numbering" w:styleId="Sraonra" w:default="1">
    <w:name w:val="No List"/>
    <w:uiPriority w:val="99"/>
    <w:semiHidden w:val="1"/>
    <w:unhideWhenUsed w:val="1"/>
  </w:style>
  <w:style w:type="paragraph" w:styleId="Antrats">
    <w:name w:val="header"/>
    <w:basedOn w:val="prastasis"/>
    <w:link w:val="AntratsDiagrama"/>
    <w:uiPriority w:val="99"/>
    <w:unhideWhenUsed w:val="1"/>
    <w:rsid w:val="007B3ED5"/>
    <w:pPr>
      <w:tabs>
        <w:tab w:val="center" w:pos="4513"/>
        <w:tab w:val="right" w:pos="9026"/>
      </w:tabs>
    </w:pPr>
  </w:style>
  <w:style w:type="character" w:styleId="AntratsDiagrama" w:customStyle="1">
    <w:name w:val="Antraštės Diagrama"/>
    <w:basedOn w:val="Numatytasispastraiposriftas"/>
    <w:link w:val="Antrats"/>
    <w:uiPriority w:val="99"/>
    <w:rsid w:val="007B3ED5"/>
  </w:style>
  <w:style w:type="paragraph" w:styleId="Porat">
    <w:name w:val="footer"/>
    <w:basedOn w:val="prastasis"/>
    <w:link w:val="PoratDiagrama"/>
    <w:uiPriority w:val="99"/>
    <w:unhideWhenUsed w:val="1"/>
    <w:rsid w:val="007B3ED5"/>
    <w:pPr>
      <w:tabs>
        <w:tab w:val="center" w:pos="4513"/>
        <w:tab w:val="right" w:pos="9026"/>
      </w:tabs>
    </w:pPr>
  </w:style>
  <w:style w:type="character" w:styleId="PoratDiagrama" w:customStyle="1">
    <w:name w:val="Poraštė Diagrama"/>
    <w:basedOn w:val="Numatytasispastraiposriftas"/>
    <w:link w:val="Porat"/>
    <w:uiPriority w:val="99"/>
    <w:rsid w:val="007B3ED5"/>
  </w:style>
  <w:style w:type="character" w:styleId="Hipersaitas">
    <w:name w:val="Hyperlink"/>
    <w:basedOn w:val="Numatytasispastraiposriftas"/>
    <w:uiPriority w:val="99"/>
    <w:rsid w:val="007B3ED5"/>
    <w:rPr>
      <w:rFonts w:cs="Times New Roman"/>
      <w:color w:val="0000ff"/>
      <w:u w:val="single"/>
    </w:rPr>
  </w:style>
  <w:style w:type="paragraph" w:styleId="prastasiniatinklio">
    <w:name w:val="Normal (Web)"/>
    <w:basedOn w:val="prastasis"/>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Betarp">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Numatytasispastraiposriftas"/>
    <w:uiPriority w:val="99"/>
    <w:semiHidden w:val="1"/>
    <w:unhideWhenUsed w:val="1"/>
    <w:rsid w:val="00F02B01"/>
    <w:rPr>
      <w:color w:val="605e5c"/>
      <w:shd w:color="auto" w:fill="e1dfdd" w:val="clear"/>
    </w:rPr>
  </w:style>
  <w:style w:type="character" w:styleId="Perirtashipersaitas">
    <w:name w:val="FollowedHyperlink"/>
    <w:basedOn w:val="Numatytasispastraiposriftas"/>
    <w:uiPriority w:val="99"/>
    <w:semiHidden w:val="1"/>
    <w:unhideWhenUsed w:val="1"/>
    <w:rsid w:val="00BC0387"/>
    <w:rPr>
      <w:color w:val="954f72" w:themeColor="followedHyperlink"/>
      <w:u w:val="single"/>
    </w:rPr>
  </w:style>
  <w:style w:type="character" w:styleId="apple-converted-space" w:customStyle="1">
    <w:name w:val="apple-converted-space"/>
    <w:basedOn w:val="Numatytasispastraiposriftas"/>
    <w:rsid w:val="00DA30B5"/>
  </w:style>
  <w:style w:type="character" w:styleId="Grietas">
    <w:name w:val="Strong"/>
    <w:basedOn w:val="Numatytasispastraiposriftas"/>
    <w:uiPriority w:val="22"/>
    <w:qFormat w:val="1"/>
    <w:rsid w:val="00287480"/>
    <w:rPr>
      <w:b w:val="1"/>
      <w:bCs w:val="1"/>
    </w:rPr>
  </w:style>
  <w:style w:type="character" w:styleId="Komentaronuoroda">
    <w:name w:val="annotation reference"/>
    <w:basedOn w:val="Numatytasispastraiposriftas"/>
    <w:uiPriority w:val="99"/>
    <w:semiHidden w:val="1"/>
    <w:unhideWhenUsed w:val="1"/>
    <w:rsid w:val="00B04E64"/>
    <w:rPr>
      <w:sz w:val="16"/>
      <w:szCs w:val="16"/>
    </w:rPr>
  </w:style>
  <w:style w:type="paragraph" w:styleId="Komentarotekstas">
    <w:name w:val="annotation text"/>
    <w:basedOn w:val="prastasis"/>
    <w:link w:val="KomentarotekstasDiagrama"/>
    <w:uiPriority w:val="99"/>
    <w:unhideWhenUsed w:val="1"/>
    <w:rsid w:val="00B04E64"/>
    <w:rPr>
      <w:sz w:val="20"/>
      <w:szCs w:val="20"/>
    </w:rPr>
  </w:style>
  <w:style w:type="character" w:styleId="KomentarotekstasDiagrama" w:customStyle="1">
    <w:name w:val="Komentaro tekstas Diagrama"/>
    <w:basedOn w:val="Numatytasispastraiposriftas"/>
    <w:link w:val="Komentarotekstas"/>
    <w:uiPriority w:val="99"/>
    <w:rsid w:val="00B04E64"/>
    <w:rPr>
      <w:sz w:val="20"/>
      <w:szCs w:val="20"/>
    </w:rPr>
  </w:style>
  <w:style w:type="paragraph" w:styleId="Komentarotema">
    <w:name w:val="annotation subject"/>
    <w:basedOn w:val="Komentarotekstas"/>
    <w:next w:val="Komentarotekstas"/>
    <w:link w:val="KomentarotemaDiagrama"/>
    <w:uiPriority w:val="99"/>
    <w:semiHidden w:val="1"/>
    <w:unhideWhenUsed w:val="1"/>
    <w:rsid w:val="00B04E64"/>
    <w:rPr>
      <w:b w:val="1"/>
      <w:bCs w:val="1"/>
    </w:rPr>
  </w:style>
  <w:style w:type="character" w:styleId="KomentarotemaDiagrama" w:customStyle="1">
    <w:name w:val="Komentaro tema Diagrama"/>
    <w:basedOn w:val="KomentarotekstasDiagrama"/>
    <w:link w:val="Komentarotema"/>
    <w:uiPriority w:val="99"/>
    <w:semiHidden w:val="1"/>
    <w:rsid w:val="00B04E64"/>
    <w:rPr>
      <w:b w:val="1"/>
      <w:bCs w:val="1"/>
      <w:sz w:val="20"/>
      <w:szCs w:val="20"/>
    </w:rPr>
  </w:style>
  <w:style w:type="paragraph" w:styleId="Debesliotekstas">
    <w:name w:val="Balloon Text"/>
    <w:basedOn w:val="prastasis"/>
    <w:link w:val="DebesliotekstasDiagrama"/>
    <w:uiPriority w:val="99"/>
    <w:semiHidden w:val="1"/>
    <w:unhideWhenUsed w:val="1"/>
    <w:rsid w:val="00B04E64"/>
    <w:rPr>
      <w:rFonts w:ascii="Times New Roman" w:cs="Times New Roman" w:hAnsi="Times New Roman"/>
      <w:sz w:val="18"/>
      <w:szCs w:val="18"/>
    </w:rPr>
  </w:style>
  <w:style w:type="character" w:styleId="DebesliotekstasDiagrama" w:customStyle="1">
    <w:name w:val="Debesėlio tekstas Diagrama"/>
    <w:basedOn w:val="Numatytasispastraiposriftas"/>
    <w:link w:val="Debesliotekstas"/>
    <w:uiPriority w:val="99"/>
    <w:semiHidden w:val="1"/>
    <w:rsid w:val="00B04E64"/>
    <w:rPr>
      <w:rFonts w:ascii="Times New Roman" w:cs="Times New Roman" w:hAnsi="Times New Roman"/>
      <w:sz w:val="18"/>
      <w:szCs w:val="18"/>
    </w:rPr>
  </w:style>
  <w:style w:type="character" w:styleId="s1" w:customStyle="1">
    <w:name w:val="s1"/>
    <w:basedOn w:val="Numatytasispastraiposriftas"/>
    <w:rsid w:val="004A52EB"/>
  </w:style>
  <w:style w:type="paragraph" w:styleId="Sraopastraipa">
    <w:name w:val="List Paragraph"/>
    <w:basedOn w:val="prastasis"/>
    <w:uiPriority w:val="34"/>
    <w:qFormat w:val="1"/>
    <w:rsid w:val="00CE0346"/>
    <w:pPr>
      <w:ind w:left="720"/>
      <w:contextualSpacing w:val="1"/>
    </w:pPr>
  </w:style>
  <w:style w:type="paragraph" w:styleId="Pataisymai">
    <w:name w:val="Revision"/>
    <w:hidden w:val="1"/>
    <w:uiPriority w:val="99"/>
    <w:semiHidden w:val="1"/>
    <w:rsid w:val="00811432"/>
  </w:style>
  <w:style w:type="paragraph" w:styleId="s6" w:customStyle="1">
    <w:name w:val="s6"/>
    <w:basedOn w:val="prastasis"/>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Numatytasispastraiposriftas"/>
    <w:rsid w:val="004B24FF"/>
  </w:style>
  <w:style w:type="character" w:styleId="ng-star-inserted1" w:customStyle="1">
    <w:name w:val="ng-star-inserted1"/>
    <w:basedOn w:val="Numatytasispastraiposriftas"/>
    <w:rsid w:val="00D4706A"/>
  </w:style>
  <w:style w:type="paragraph" w:styleId="ng-star-inserted" w:customStyle="1">
    <w:name w:val="ng-star-inserted"/>
    <w:basedOn w:val="prastasis"/>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Numatytasispastraiposriftas"/>
    <w:rsid w:val="00763FE6"/>
  </w:style>
  <w:style w:type="character" w:styleId="Emfaz">
    <w:name w:val="Emphasis"/>
    <w:basedOn w:val="Numatytasispastraiposriftas"/>
    <w:uiPriority w:val="20"/>
    <w:qFormat w:val="1"/>
    <w:rsid w:val="00C2083F"/>
    <w:rPr>
      <w:i w:val="1"/>
      <w:iCs w:val="1"/>
    </w:rPr>
  </w:style>
  <w:style w:type="character" w:styleId="Antrat3Diagrama" w:customStyle="1">
    <w:name w:val="Antraštė 3 Diagrama"/>
    <w:basedOn w:val="Numatytasispastraiposriftas"/>
    <w:link w:val="Antrat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Numatytasispastraiposriftas"/>
    <w:rsid w:val="00091BA8"/>
  </w:style>
  <w:style w:type="character" w:styleId="Antrat1Diagrama" w:customStyle="1">
    <w:name w:val="Antraštė 1 Diagrama"/>
    <w:basedOn w:val="Numatytasispastraiposriftas"/>
    <w:link w:val="Antrat1"/>
    <w:uiPriority w:val="9"/>
    <w:rsid w:val="00951129"/>
    <w:rPr>
      <w:rFonts w:asciiTheme="majorHAnsi" w:cstheme="majorBidi" w:eastAsiaTheme="majorEastAsia" w:hAnsiTheme="majorHAnsi"/>
      <w:color w:val="2f5496" w:themeColor="accent1" w:themeShade="0000BF"/>
      <w:sz w:val="32"/>
      <w:szCs w:val="32"/>
    </w:rPr>
  </w:style>
  <w:style w:type="character" w:styleId="Antrat2Diagrama" w:customStyle="1">
    <w:name w:val="Antraštė 2 Diagrama"/>
    <w:basedOn w:val="Numatytasispastraiposriftas"/>
    <w:link w:val="Antrat2"/>
    <w:uiPriority w:val="9"/>
    <w:semiHidden w:val="1"/>
    <w:rsid w:val="00951129"/>
    <w:rPr>
      <w:rFonts w:asciiTheme="majorHAnsi" w:cstheme="majorBidi" w:eastAsiaTheme="majorEastAsia" w:hAnsiTheme="majorHAnsi"/>
      <w:color w:val="2f5496" w:themeColor="accent1" w:themeShade="0000BF"/>
      <w:sz w:val="26"/>
      <w:szCs w:val="26"/>
    </w:rPr>
  </w:style>
  <w:style w:type="character" w:styleId="Neapdorotaspaminjimas">
    <w:name w:val="Unresolved Mention"/>
    <w:basedOn w:val="Numatytasispastraiposriftas"/>
    <w:uiPriority w:val="99"/>
    <w:rsid w:val="001657B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4g+pMthM5j+p4VrmotYAssLL1Q==">CgMxLjA4AHIhMWc2Y19GUmhieEJMSG9mblpCYWtWV2tVeU5jX1FVc0Zt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2026-05-21T14:26:00Z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