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4C5CA" w14:textId="7F51B58C" w:rsidR="003F72C9" w:rsidRPr="0069287B" w:rsidRDefault="003F72C9" w:rsidP="003F72C9">
      <w:pPr>
        <w:jc w:val="both"/>
        <w:rPr>
          <w:rFonts w:eastAsia="Aptos" w:cs="Times New Roman"/>
          <w:lang w:val="lt-LT"/>
        </w:rPr>
      </w:pPr>
      <w:r w:rsidRPr="0069287B">
        <w:rPr>
          <w:rFonts w:eastAsia="Aptos" w:cs="Times New Roman"/>
          <w:lang w:val="lt-LT"/>
        </w:rPr>
        <w:t xml:space="preserve">Pranešimas </w:t>
      </w:r>
      <w:r w:rsidR="003847CC" w:rsidRPr="0069287B">
        <w:rPr>
          <w:rFonts w:eastAsia="Aptos" w:cs="Times New Roman"/>
          <w:lang w:val="lt-LT"/>
        </w:rPr>
        <w:t>žiniasklaidai</w:t>
      </w:r>
    </w:p>
    <w:p w14:paraId="752257D0" w14:textId="3239114A" w:rsidR="003F72C9" w:rsidRPr="0069287B" w:rsidRDefault="003F72C9" w:rsidP="003F72C9">
      <w:pPr>
        <w:jc w:val="both"/>
        <w:rPr>
          <w:rFonts w:eastAsia="Aptos" w:cs="Times New Roman"/>
          <w:lang w:val="lt-LT"/>
        </w:rPr>
      </w:pPr>
      <w:r w:rsidRPr="0069287B">
        <w:rPr>
          <w:rFonts w:eastAsia="Aptos" w:cs="Times New Roman"/>
          <w:lang w:val="lt-LT"/>
        </w:rPr>
        <w:t>202</w:t>
      </w:r>
      <w:r w:rsidR="00FD40D2" w:rsidRPr="0069287B">
        <w:rPr>
          <w:rFonts w:eastAsia="Aptos" w:cs="Times New Roman"/>
          <w:lang w:val="lt-LT"/>
        </w:rPr>
        <w:t>6</w:t>
      </w:r>
      <w:r w:rsidRPr="0069287B">
        <w:rPr>
          <w:rFonts w:eastAsia="Aptos" w:cs="Times New Roman"/>
          <w:lang w:val="lt-LT"/>
        </w:rPr>
        <w:t xml:space="preserve"> m.</w:t>
      </w:r>
      <w:r w:rsidR="0000659D" w:rsidRPr="0069287B">
        <w:rPr>
          <w:rFonts w:eastAsia="Aptos" w:cs="Times New Roman"/>
          <w:lang w:val="lt-LT"/>
        </w:rPr>
        <w:t xml:space="preserve"> lapkričio</w:t>
      </w:r>
      <w:r w:rsidR="005F59E0" w:rsidRPr="0069287B">
        <w:rPr>
          <w:rFonts w:eastAsia="Aptos" w:cs="Times New Roman"/>
          <w:lang w:val="lt-LT"/>
        </w:rPr>
        <w:t xml:space="preserve"> 6</w:t>
      </w:r>
      <w:r w:rsidR="009D38CE" w:rsidRPr="0069287B">
        <w:rPr>
          <w:rFonts w:eastAsia="Aptos" w:cs="Times New Roman"/>
          <w:lang w:val="lt-LT"/>
        </w:rPr>
        <w:t xml:space="preserve"> </w:t>
      </w:r>
      <w:r w:rsidRPr="0069287B">
        <w:rPr>
          <w:rFonts w:eastAsia="Aptos" w:cs="Times New Roman"/>
          <w:lang w:val="lt-LT"/>
        </w:rPr>
        <w:t>d.</w:t>
      </w:r>
    </w:p>
    <w:p w14:paraId="727D9E48" w14:textId="77777777" w:rsidR="00CB3411" w:rsidRPr="0069287B" w:rsidRDefault="00CB3411" w:rsidP="004E3BA4">
      <w:pPr>
        <w:jc w:val="both"/>
        <w:rPr>
          <w:rFonts w:cs="Times New Roman"/>
          <w:b/>
          <w:bCs/>
          <w:lang w:val="lt-LT"/>
        </w:rPr>
      </w:pPr>
    </w:p>
    <w:p w14:paraId="2E712AE4" w14:textId="1E35013F" w:rsidR="00385C7E" w:rsidRPr="00341487" w:rsidRDefault="00385C7E" w:rsidP="004E3BA4">
      <w:pPr>
        <w:jc w:val="both"/>
        <w:rPr>
          <w:rFonts w:cs="Times New Roman"/>
          <w:b/>
          <w:bCs/>
          <w:sz w:val="28"/>
          <w:szCs w:val="28"/>
          <w:lang w:val="lt-LT"/>
        </w:rPr>
      </w:pPr>
      <w:r w:rsidRPr="00341487">
        <w:rPr>
          <w:rFonts w:cs="Times New Roman"/>
          <w:b/>
          <w:bCs/>
          <w:sz w:val="28"/>
          <w:szCs w:val="28"/>
          <w:lang w:val="lt-LT"/>
        </w:rPr>
        <w:t>Ar pensijoje pakaks pinigų? EBPO skaičiavimuose Lietuva – sąrašo viršūnėje</w:t>
      </w:r>
    </w:p>
    <w:p w14:paraId="1D83E507" w14:textId="77777777" w:rsidR="00CF311E" w:rsidRPr="0069287B" w:rsidRDefault="00CF311E" w:rsidP="006051BF">
      <w:pPr>
        <w:jc w:val="both"/>
        <w:rPr>
          <w:rFonts w:cs="Times New Roman"/>
          <w:b/>
          <w:bCs/>
          <w:lang w:val="lt-LT"/>
        </w:rPr>
      </w:pPr>
    </w:p>
    <w:p w14:paraId="01C6CD17" w14:textId="20880711" w:rsidR="008F6F4A" w:rsidRPr="0069287B" w:rsidRDefault="144720F0" w:rsidP="008F6F4A">
      <w:pPr>
        <w:spacing w:after="160"/>
        <w:jc w:val="both"/>
        <w:rPr>
          <w:rFonts w:cs="Times New Roman"/>
          <w:b/>
          <w:bCs/>
          <w:lang w:val="lt-LT"/>
        </w:rPr>
      </w:pPr>
      <w:r w:rsidRPr="0069287B">
        <w:rPr>
          <w:rFonts w:cs="Times New Roman"/>
          <w:b/>
          <w:bCs/>
          <w:lang w:val="lt-LT"/>
        </w:rPr>
        <w:t xml:space="preserve">Lietuva atsidūrė tarptautinio pensijų tyrimo sąrašo viršūnėje, tačiau ne iš gerosios pusės. Naujausia Ekonominio bendradarbiavimo ir plėtros organizacijos (EBPO) analizė „OECD </w:t>
      </w:r>
      <w:proofErr w:type="spellStart"/>
      <w:r w:rsidRPr="0069287B">
        <w:rPr>
          <w:rFonts w:cs="Times New Roman"/>
          <w:b/>
          <w:bCs/>
          <w:lang w:val="lt-LT"/>
        </w:rPr>
        <w:t>Pensions</w:t>
      </w:r>
      <w:proofErr w:type="spellEnd"/>
      <w:r w:rsidRPr="0069287B">
        <w:rPr>
          <w:rFonts w:cs="Times New Roman"/>
          <w:b/>
          <w:bCs/>
          <w:lang w:val="lt-LT"/>
        </w:rPr>
        <w:t xml:space="preserve"> Outlook 2026“ atskleidė, kad būtent Lietuvoje – didžiausias papildomo kaupimo pensijai poreikis. </w:t>
      </w:r>
      <w:r w:rsidR="10F7415A" w:rsidRPr="0069287B">
        <w:rPr>
          <w:rFonts w:cs="Times New Roman"/>
          <w:b/>
          <w:bCs/>
          <w:lang w:val="lt-LT"/>
        </w:rPr>
        <w:t>N</w:t>
      </w:r>
      <w:r w:rsidR="515A197D" w:rsidRPr="0069287B">
        <w:rPr>
          <w:rFonts w:cs="Times New Roman"/>
          <w:b/>
          <w:bCs/>
          <w:lang w:val="lt-LT"/>
        </w:rPr>
        <w:t xml:space="preserve">orint </w:t>
      </w:r>
      <w:r w:rsidR="27CC86F0" w:rsidRPr="0069287B">
        <w:rPr>
          <w:rFonts w:cs="Times New Roman"/>
          <w:b/>
          <w:bCs/>
          <w:lang w:val="lt-LT"/>
        </w:rPr>
        <w:t>senatvėje išsaugoti įprastą gyvenimo lygį</w:t>
      </w:r>
      <w:r w:rsidR="523BAD52" w:rsidRPr="0069287B">
        <w:rPr>
          <w:rFonts w:cs="Times New Roman"/>
          <w:b/>
          <w:bCs/>
          <w:lang w:val="lt-LT"/>
        </w:rPr>
        <w:t>, pagal EBPO modelį</w:t>
      </w:r>
      <w:r w:rsidR="515A197D" w:rsidRPr="0069287B">
        <w:rPr>
          <w:rFonts w:cs="Times New Roman"/>
          <w:b/>
          <w:bCs/>
          <w:lang w:val="lt-LT"/>
        </w:rPr>
        <w:t xml:space="preserve"> </w:t>
      </w:r>
      <w:r w:rsidR="27CC86F0" w:rsidRPr="0069287B">
        <w:rPr>
          <w:rFonts w:cs="Times New Roman"/>
          <w:b/>
          <w:bCs/>
          <w:lang w:val="lt-LT"/>
        </w:rPr>
        <w:t>gali reikėti papildomai atidėti daugiau nei penktadalį atlyginimo.</w:t>
      </w:r>
    </w:p>
    <w:p w14:paraId="109FFC80" w14:textId="319B2C7A" w:rsidR="00B61AFA" w:rsidRPr="0069287B" w:rsidRDefault="008A4D2C" w:rsidP="008F6F4A">
      <w:pPr>
        <w:spacing w:after="160"/>
        <w:jc w:val="both"/>
        <w:rPr>
          <w:rFonts w:cs="Times New Roman"/>
          <w:lang w:val="lt-LT"/>
        </w:rPr>
      </w:pPr>
      <w:r w:rsidRPr="0069287B">
        <w:rPr>
          <w:rFonts w:cs="Times New Roman"/>
          <w:lang w:val="lt-LT"/>
        </w:rPr>
        <w:t>Anot EBPO,</w:t>
      </w:r>
      <w:r w:rsidR="00B61AFA" w:rsidRPr="0069287B">
        <w:rPr>
          <w:rFonts w:cs="Times New Roman"/>
          <w:lang w:val="lt-LT"/>
        </w:rPr>
        <w:t xml:space="preserve"> Lietuva tarp 41 nagrinėtos šalies užima pirmąją vietą pagal papildomų pensijų įmokų poreikį vidutinį atlyginimą gaunančių vyrų grupėje. </w:t>
      </w:r>
      <w:r w:rsidRPr="0069287B">
        <w:rPr>
          <w:rFonts w:cs="Times New Roman"/>
          <w:lang w:val="lt-LT"/>
        </w:rPr>
        <w:t>Teoriniais skaičiavimais, n</w:t>
      </w:r>
      <w:r w:rsidR="00B61AFA" w:rsidRPr="0069287B">
        <w:rPr>
          <w:rFonts w:cs="Times New Roman"/>
          <w:lang w:val="lt-LT"/>
        </w:rPr>
        <w:t>orint pensijoje gauti 70 proc. ankstesnio bruto atlyginimo, papildomai reikėtų atidėti daugiau nei 20 proc. pajamų. Airijoje šis rodiklis siekia apie 19 proc., Lenkijoje – 17 proc.</w:t>
      </w:r>
      <w:r w:rsidRPr="0069287B">
        <w:rPr>
          <w:rFonts w:cs="Times New Roman"/>
          <w:lang w:val="lt-LT"/>
        </w:rPr>
        <w:t xml:space="preserve"> </w:t>
      </w:r>
      <w:r w:rsidR="00B61AFA" w:rsidRPr="0069287B">
        <w:rPr>
          <w:rFonts w:cs="Times New Roman"/>
          <w:lang w:val="lt-LT"/>
        </w:rPr>
        <w:t>Tuo metu visų šalių, kuriose nustatytas papildomų įmokų poreikis, vidurkis siekia 9,7 proc.</w:t>
      </w:r>
    </w:p>
    <w:p w14:paraId="1B66B1EF" w14:textId="2D749D38" w:rsidR="008F6F4A" w:rsidRPr="0069287B" w:rsidRDefault="008F6F4A" w:rsidP="008F6F4A">
      <w:pPr>
        <w:spacing w:after="160"/>
        <w:jc w:val="both"/>
        <w:rPr>
          <w:rFonts w:cs="Times New Roman"/>
          <w:lang w:val="lt-LT"/>
        </w:rPr>
      </w:pPr>
      <w:r w:rsidRPr="0069287B">
        <w:rPr>
          <w:rFonts w:cs="Times New Roman"/>
          <w:lang w:val="lt-LT"/>
        </w:rPr>
        <w:t>Lietuvos investicinių ir pensijų fondų asociacijos (LIPFA) vadovo Vaidoto Rūko teigimu, tyrimas išryškina problemą, kuri tampa ypač aktuali vykstant pensijų kaupimo reformai.</w:t>
      </w:r>
    </w:p>
    <w:p w14:paraId="132E022E" w14:textId="5488ADA0" w:rsidR="008F6F4A" w:rsidRPr="0069287B" w:rsidRDefault="008F6F4A" w:rsidP="008F6F4A">
      <w:pPr>
        <w:spacing w:after="160"/>
        <w:jc w:val="both"/>
        <w:rPr>
          <w:rFonts w:cs="Times New Roman"/>
          <w:lang w:val="lt-LT"/>
        </w:rPr>
      </w:pPr>
      <w:r w:rsidRPr="0069287B">
        <w:rPr>
          <w:rFonts w:cs="Times New Roman"/>
          <w:lang w:val="lt-LT"/>
        </w:rPr>
        <w:t>„Šiandien daug kalbame apie galimybę atsiimti pensij</w:t>
      </w:r>
      <w:r w:rsidR="00C85F60" w:rsidRPr="0069287B">
        <w:rPr>
          <w:rFonts w:cs="Times New Roman"/>
          <w:lang w:val="lt-LT"/>
        </w:rPr>
        <w:t>ai kauptus pinigus</w:t>
      </w:r>
      <w:r w:rsidRPr="0069287B">
        <w:rPr>
          <w:rFonts w:cs="Times New Roman"/>
          <w:lang w:val="lt-LT"/>
        </w:rPr>
        <w:t>, tačiau gerokai mažiau – apie tai, iš ko gyvensime po 20 ar 30 metų. EBPO skaičiavimai primena, kad vien valstybinės pensijos norimam gyvenimo lygiui gali nepakakti. Todėl svarbu ne tik išsaugoti galimybę papildomai kaupti, bet ir užtikrinti, kad ja naudotųsi kuo daugiau žmonių“, – sako V. Rūkas.</w:t>
      </w:r>
    </w:p>
    <w:p w14:paraId="255DAC35" w14:textId="2BB828DE" w:rsidR="00E63AC6" w:rsidRPr="0069287B" w:rsidRDefault="00E63AC6" w:rsidP="008F6F4A">
      <w:pPr>
        <w:spacing w:after="160"/>
        <w:jc w:val="both"/>
        <w:rPr>
          <w:rFonts w:cs="Times New Roman"/>
          <w:b/>
          <w:bCs/>
          <w:lang w:val="lt-LT"/>
        </w:rPr>
      </w:pPr>
      <w:r w:rsidRPr="0069287B">
        <w:rPr>
          <w:rFonts w:cs="Times New Roman"/>
          <w:b/>
          <w:bCs/>
          <w:lang w:val="lt-LT"/>
        </w:rPr>
        <w:t>Kitos šalys jau imasi pokyčių</w:t>
      </w:r>
    </w:p>
    <w:p w14:paraId="5F6C8D33" w14:textId="310E7EFF" w:rsidR="00E63AC6" w:rsidRPr="0069287B" w:rsidRDefault="0E58FCFB" w:rsidP="00E63AC6">
      <w:pPr>
        <w:spacing w:after="160"/>
        <w:jc w:val="both"/>
        <w:rPr>
          <w:rFonts w:cs="Times New Roman"/>
          <w:lang w:val="lt-LT"/>
        </w:rPr>
      </w:pPr>
      <w:r w:rsidRPr="0069287B">
        <w:rPr>
          <w:rFonts w:cs="Times New Roman"/>
          <w:lang w:val="lt-LT"/>
        </w:rPr>
        <w:t>Pasak V. Rūko, Lietuva, Airija ir Lenkija – trys šalys, kuriose EBPO nustatė</w:t>
      </w:r>
      <w:r w:rsidR="004053C9" w:rsidRPr="0069287B">
        <w:rPr>
          <w:rFonts w:cs="Times New Roman"/>
          <w:lang w:val="lt-LT"/>
        </w:rPr>
        <w:t xml:space="preserve"> vieną</w:t>
      </w:r>
      <w:r w:rsidRPr="0069287B">
        <w:rPr>
          <w:rFonts w:cs="Times New Roman"/>
          <w:lang w:val="lt-LT"/>
        </w:rPr>
        <w:t xml:space="preserve"> didžiausi</w:t>
      </w:r>
      <w:r w:rsidR="00717451" w:rsidRPr="0069287B">
        <w:rPr>
          <w:rFonts w:cs="Times New Roman"/>
          <w:lang w:val="lt-LT"/>
        </w:rPr>
        <w:t>ų</w:t>
      </w:r>
      <w:r w:rsidR="00390A0C" w:rsidRPr="0069287B">
        <w:rPr>
          <w:rFonts w:cs="Times New Roman"/>
          <w:lang w:val="lt-LT"/>
        </w:rPr>
        <w:t xml:space="preserve"> </w:t>
      </w:r>
      <w:r w:rsidRPr="0069287B">
        <w:rPr>
          <w:rFonts w:cs="Times New Roman"/>
          <w:lang w:val="lt-LT"/>
        </w:rPr>
        <w:t>papildomo kaupimo pensijai poreik</w:t>
      </w:r>
      <w:r w:rsidR="00F77CAD" w:rsidRPr="0069287B">
        <w:rPr>
          <w:rFonts w:cs="Times New Roman"/>
          <w:lang w:val="lt-LT"/>
        </w:rPr>
        <w:t>i</w:t>
      </w:r>
      <w:r w:rsidR="002453D7" w:rsidRPr="0069287B">
        <w:rPr>
          <w:rFonts w:cs="Times New Roman"/>
          <w:lang w:val="lt-LT"/>
        </w:rPr>
        <w:t>ų</w:t>
      </w:r>
      <w:r w:rsidRPr="0069287B">
        <w:rPr>
          <w:rFonts w:cs="Times New Roman"/>
          <w:lang w:val="lt-LT"/>
        </w:rPr>
        <w:t>. Tačiau kol Lietuva suteikia daugiau galimybių pasitraukti iš pensijų kaupimo, Airija ir Lenkija jau imasi priemonių, kad senatvei kauptų kuo daugiau gyventojų.</w:t>
      </w:r>
    </w:p>
    <w:p w14:paraId="3F3B46D4" w14:textId="681C233A" w:rsidR="00E63AC6" w:rsidRPr="0069287B" w:rsidRDefault="00E63AC6">
      <w:pPr>
        <w:spacing w:after="160"/>
        <w:jc w:val="both"/>
        <w:rPr>
          <w:rFonts w:cs="Times New Roman"/>
          <w:lang w:val="lt-LT"/>
        </w:rPr>
      </w:pPr>
      <w:r w:rsidRPr="0069287B">
        <w:rPr>
          <w:rFonts w:cs="Times New Roman"/>
          <w:lang w:val="lt-LT"/>
        </w:rPr>
        <w:t xml:space="preserve">Airijoje, kurioje </w:t>
      </w:r>
      <w:r w:rsidR="00FD71FB" w:rsidRPr="0069287B">
        <w:rPr>
          <w:rFonts w:cs="Times New Roman"/>
          <w:lang w:val="lt-LT"/>
        </w:rPr>
        <w:t>nustatytas</w:t>
      </w:r>
      <w:r w:rsidRPr="0069287B">
        <w:rPr>
          <w:rFonts w:cs="Times New Roman"/>
          <w:lang w:val="lt-LT"/>
        </w:rPr>
        <w:t xml:space="preserve"> antras didžiausias papildomo kaupimo poreikis, šių metų sausį pirmą kartą įvesta automatinio įtraukimo į kaupimą sistema. Joje darbuotojas iš pradžių skiria 1,5 proc. atlyginimo, tiek pat prideda darbdavys, o valstybė – dar 0,5 proc. Iki 2035 m. įmokos palaipsniui didės: darbuotojas ir darbdavys mokės po 6 proc., valstybė pridės 2 proc. Per pirmas reformos savaites į kaupimą automatiškai įtraukta daugiau kaip 760 tūkst. d</w:t>
      </w:r>
      <w:r w:rsidR="578829D9" w:rsidRPr="0069287B">
        <w:rPr>
          <w:rFonts w:cs="Times New Roman"/>
          <w:lang w:val="lt-LT"/>
        </w:rPr>
        <w:t>irbančiųjų</w:t>
      </w:r>
      <w:r w:rsidRPr="0069287B">
        <w:rPr>
          <w:rFonts w:cs="Times New Roman"/>
          <w:lang w:val="lt-LT"/>
        </w:rPr>
        <w:t>.</w:t>
      </w:r>
    </w:p>
    <w:p w14:paraId="3DE38A27" w14:textId="60351F94" w:rsidR="00E63AC6" w:rsidRPr="0069287B" w:rsidRDefault="00E63AC6" w:rsidP="00E63AC6">
      <w:pPr>
        <w:spacing w:after="160"/>
        <w:jc w:val="both"/>
        <w:rPr>
          <w:rFonts w:cs="Times New Roman"/>
          <w:lang w:val="lt-LT"/>
        </w:rPr>
      </w:pPr>
      <w:r w:rsidRPr="0069287B">
        <w:rPr>
          <w:rFonts w:cs="Times New Roman"/>
          <w:lang w:val="lt-LT"/>
        </w:rPr>
        <w:t>„Lenkijos patirtis Lietuvai – ypač aktuali. 2014 m. šalyje įgyvendinta panaši reforma, leidusi gyventojams atsisakyti tolesnio kaupimo II pakopoje, o daugiau nei pusė pensijų fondų turto buvo perkelta į valstybinę sistemą. Tačiau vėliau Lenkija vėl ėmėsi skatinti kaupimą – 2019 m. įvesta nauja automatinio įtraukimo sistema, pagal kurią prie darbuotojų įmokų prisideda darbdaviai ir valstybė“, – nurodo LIPFA vadovas.</w:t>
      </w:r>
    </w:p>
    <w:p w14:paraId="72D5EDB4" w14:textId="6BE42F37" w:rsidR="00E63AC6" w:rsidRPr="0069287B" w:rsidRDefault="00E63AC6" w:rsidP="00E63AC6">
      <w:pPr>
        <w:spacing w:after="160"/>
        <w:jc w:val="both"/>
        <w:rPr>
          <w:rFonts w:cs="Times New Roman"/>
          <w:lang w:val="lt-LT"/>
        </w:rPr>
      </w:pPr>
      <w:r w:rsidRPr="0069287B">
        <w:rPr>
          <w:rFonts w:cs="Times New Roman"/>
          <w:lang w:val="lt-LT"/>
        </w:rPr>
        <w:t xml:space="preserve">Jis atkreipia dėmesį, kad Lenkijoje itin plačiai paplitęs savanoriškas papildomas kaupimas pensijai. EBPO duomenimis, 2025 m. savanoriškai papildomai pensijai kaupė net 60,7 proc. darbingo amžiaus Lenkijos gyventojų – daugiausia tarp šį rodiklį pateikusių valstybių. Tiesa, rodiklis apima ir </w:t>
      </w:r>
      <w:r w:rsidR="00A102CA" w:rsidRPr="0069287B">
        <w:rPr>
          <w:rFonts w:cs="Times New Roman"/>
          <w:lang w:val="lt-LT"/>
        </w:rPr>
        <w:t xml:space="preserve">prieš reformą </w:t>
      </w:r>
      <w:r w:rsidRPr="0069287B">
        <w:rPr>
          <w:rFonts w:cs="Times New Roman"/>
          <w:lang w:val="lt-LT"/>
        </w:rPr>
        <w:t>privalomuose fonduose kaupusius gyventojus</w:t>
      </w:r>
      <w:r w:rsidR="00A102CA" w:rsidRPr="0069287B">
        <w:rPr>
          <w:rFonts w:cs="Times New Roman"/>
          <w:lang w:val="lt-LT"/>
        </w:rPr>
        <w:t>.</w:t>
      </w:r>
    </w:p>
    <w:p w14:paraId="517006EB" w14:textId="498CE257" w:rsidR="00E63AC6" w:rsidRPr="0069287B" w:rsidRDefault="56CEBA48" w:rsidP="008F6F4A">
      <w:pPr>
        <w:spacing w:after="160"/>
        <w:jc w:val="both"/>
        <w:rPr>
          <w:rFonts w:cs="Times New Roman"/>
          <w:lang w:val="lt-LT"/>
        </w:rPr>
      </w:pPr>
      <w:r w:rsidRPr="0069287B">
        <w:rPr>
          <w:rFonts w:cs="Times New Roman"/>
          <w:lang w:val="lt-LT"/>
        </w:rPr>
        <w:t>Anot V. Rūko, šių šalių pavyzdžiai verčia susimąstyti, kaip paskatinti gyventojus kaupti pensijai</w:t>
      </w:r>
      <w:r w:rsidR="170F0778" w:rsidRPr="0069287B">
        <w:rPr>
          <w:rFonts w:cs="Times New Roman"/>
          <w:lang w:val="lt-LT"/>
        </w:rPr>
        <w:t xml:space="preserve"> papildomai</w:t>
      </w:r>
      <w:r w:rsidR="1514ABAF" w:rsidRPr="0069287B">
        <w:rPr>
          <w:rFonts w:cs="Times New Roman"/>
          <w:lang w:val="lt-LT"/>
        </w:rPr>
        <w:t>.</w:t>
      </w:r>
    </w:p>
    <w:p w14:paraId="0F8AA48C" w14:textId="1F94336A" w:rsidR="008F6F4A" w:rsidRPr="0069287B" w:rsidRDefault="008F6F4A" w:rsidP="008F6F4A">
      <w:pPr>
        <w:spacing w:after="160"/>
        <w:jc w:val="both"/>
        <w:rPr>
          <w:rFonts w:cs="Times New Roman"/>
          <w:b/>
          <w:bCs/>
          <w:lang w:val="lt-LT"/>
        </w:rPr>
      </w:pPr>
      <w:r w:rsidRPr="0069287B">
        <w:rPr>
          <w:rFonts w:cs="Times New Roman"/>
          <w:b/>
          <w:bCs/>
          <w:lang w:val="lt-LT"/>
        </w:rPr>
        <w:t>Kaimynai kaupia aktyviau</w:t>
      </w:r>
    </w:p>
    <w:p w14:paraId="32D2801F" w14:textId="77777777" w:rsidR="00D90B5F" w:rsidRPr="0069287B" w:rsidRDefault="00D90B5F" w:rsidP="008F6F4A">
      <w:pPr>
        <w:spacing w:after="160"/>
        <w:jc w:val="both"/>
        <w:rPr>
          <w:rFonts w:cs="Times New Roman"/>
          <w:lang w:val="lt-LT"/>
        </w:rPr>
      </w:pPr>
      <w:r w:rsidRPr="0069287B">
        <w:rPr>
          <w:rFonts w:cs="Times New Roman"/>
          <w:lang w:val="lt-LT"/>
        </w:rPr>
        <w:t>Gerokai mažesnį nei Lietuvoje (daugiau kaip 20 proc.) papildomų įmokų pensijai poreikį EBPO apskaičiavo Latvijoje ir Estijoje – abiejose šalyse jis siekia apie 12 proc. pajamų.</w:t>
      </w:r>
    </w:p>
    <w:p w14:paraId="256A7CD1" w14:textId="705241E7" w:rsidR="005075D3" w:rsidRPr="0069287B" w:rsidRDefault="005075D3" w:rsidP="005075D3">
      <w:pPr>
        <w:spacing w:after="160"/>
        <w:jc w:val="both"/>
        <w:rPr>
          <w:rFonts w:cs="Times New Roman"/>
          <w:lang w:val="lt-LT"/>
        </w:rPr>
      </w:pPr>
      <w:r w:rsidRPr="0069287B">
        <w:rPr>
          <w:rFonts w:cs="Times New Roman"/>
          <w:lang w:val="lt-LT"/>
        </w:rPr>
        <w:t>Latvijoje kaupimas II pensijų pakopoje daugumai dirbančiųjų yra privalomas, o EBPO nurodomas dalyvavimo rodiklis siekia 100 proc. Be to, savo noru papildomai pensijai kaupia 35,8 proc. darbingo amžiaus gyventojų. Estijoje II pakopoje dalyvauja 66,5 proc. darbingo amžiaus gyventojų, o savanoriškai papildomai kaupia 26,6 proc. (2021 m. duomenys).</w:t>
      </w:r>
    </w:p>
    <w:p w14:paraId="5599E1D2" w14:textId="212B0DCE" w:rsidR="00D90B5F" w:rsidRPr="0069287B" w:rsidRDefault="35FE2202">
      <w:pPr>
        <w:spacing w:after="160"/>
        <w:jc w:val="both"/>
        <w:rPr>
          <w:rFonts w:cs="Times New Roman"/>
          <w:lang w:val="lt-LT"/>
        </w:rPr>
      </w:pPr>
      <w:r w:rsidRPr="0069287B">
        <w:rPr>
          <w:rFonts w:cs="Times New Roman"/>
          <w:lang w:val="lt-LT"/>
        </w:rPr>
        <w:t>Tuo metu Lietuvoje</w:t>
      </w:r>
      <w:r w:rsidR="00CD5A3A" w:rsidRPr="0069287B">
        <w:rPr>
          <w:rFonts w:cs="Times New Roman"/>
          <w:lang w:val="lt-LT"/>
        </w:rPr>
        <w:t xml:space="preserve"> </w:t>
      </w:r>
      <w:r w:rsidRPr="0069287B">
        <w:rPr>
          <w:rFonts w:cs="Times New Roman"/>
          <w:lang w:val="lt-LT"/>
        </w:rPr>
        <w:t>2025 m. savanoriška</w:t>
      </w:r>
      <w:r w:rsidR="00A046F9" w:rsidRPr="0069287B">
        <w:rPr>
          <w:rFonts w:cs="Times New Roman"/>
          <w:lang w:val="lt-LT"/>
        </w:rPr>
        <w:t>s</w:t>
      </w:r>
      <w:r w:rsidRPr="0069287B">
        <w:rPr>
          <w:rFonts w:cs="Times New Roman"/>
          <w:lang w:val="lt-LT"/>
        </w:rPr>
        <w:t xml:space="preserve"> papildoma</w:t>
      </w:r>
      <w:r w:rsidR="14FE8A31" w:rsidRPr="0069287B">
        <w:rPr>
          <w:rFonts w:cs="Times New Roman"/>
          <w:lang w:val="lt-LT"/>
        </w:rPr>
        <w:t>s</w:t>
      </w:r>
      <w:r w:rsidRPr="0069287B">
        <w:rPr>
          <w:rFonts w:cs="Times New Roman"/>
          <w:lang w:val="lt-LT"/>
        </w:rPr>
        <w:t xml:space="preserve"> </w:t>
      </w:r>
      <w:r w:rsidR="0DBA0144" w:rsidRPr="0069287B">
        <w:rPr>
          <w:rFonts w:cs="Times New Roman"/>
          <w:lang w:val="lt-LT"/>
        </w:rPr>
        <w:t xml:space="preserve">kaupimas </w:t>
      </w:r>
      <w:r w:rsidRPr="0069287B">
        <w:rPr>
          <w:rFonts w:cs="Times New Roman"/>
          <w:lang w:val="lt-LT"/>
        </w:rPr>
        <w:t xml:space="preserve">pensijai </w:t>
      </w:r>
      <w:r w:rsidR="11381497" w:rsidRPr="0069287B">
        <w:rPr>
          <w:rFonts w:cs="Times New Roman"/>
          <w:lang w:val="lt-LT"/>
        </w:rPr>
        <w:t xml:space="preserve">sparčiai augo, tačiau sudarė </w:t>
      </w:r>
      <w:r w:rsidRPr="0069287B">
        <w:rPr>
          <w:rFonts w:cs="Times New Roman"/>
          <w:lang w:val="lt-LT"/>
        </w:rPr>
        <w:t>vos 9,8 proc.</w:t>
      </w:r>
    </w:p>
    <w:p w14:paraId="18CF2921" w14:textId="7B54C752" w:rsidR="005075D3" w:rsidRPr="0069287B" w:rsidRDefault="7ECAB648" w:rsidP="008F6F4A">
      <w:pPr>
        <w:spacing w:after="160"/>
        <w:jc w:val="both"/>
        <w:rPr>
          <w:rFonts w:cs="Times New Roman"/>
          <w:lang w:val="lt-LT"/>
        </w:rPr>
      </w:pPr>
      <w:r w:rsidRPr="0069287B">
        <w:rPr>
          <w:rFonts w:cs="Times New Roman"/>
          <w:lang w:val="lt-LT"/>
        </w:rPr>
        <w:t xml:space="preserve">„Šie skaičiai rodo, kad Lietuvoje savarankiškai papildomai pensijai kaupia tik kas dešimtas darbingo amžiaus žmogus. EBPO duomenimis, 9 iš 19 šalių, kuriose veikia tik savanoriški papildomo kaupimo planai, juose dalyvauja mažiau nei pusė darbingo amžiaus gyventojų. Tai rodo, kodėl svarbu ne tik suteikti galimybę kaupti, bet ir skatinti gyventojus ja pasinaudoti, įtraukiant valstybę bei darbdavius“, – </w:t>
      </w:r>
      <w:r w:rsidR="43AFE104" w:rsidRPr="0069287B">
        <w:rPr>
          <w:rFonts w:cs="Times New Roman"/>
          <w:lang w:val="lt-LT"/>
        </w:rPr>
        <w:t>teigia</w:t>
      </w:r>
      <w:r w:rsidRPr="0069287B">
        <w:rPr>
          <w:rFonts w:cs="Times New Roman"/>
          <w:lang w:val="lt-LT"/>
        </w:rPr>
        <w:t xml:space="preserve"> </w:t>
      </w:r>
      <w:r w:rsidR="66F15F04" w:rsidRPr="0069287B">
        <w:rPr>
          <w:rFonts w:cs="Times New Roman"/>
          <w:lang w:val="lt-LT"/>
        </w:rPr>
        <w:t>LIPFA vadovas</w:t>
      </w:r>
      <w:r w:rsidRPr="0069287B">
        <w:rPr>
          <w:rFonts w:cs="Times New Roman"/>
          <w:lang w:val="lt-LT"/>
        </w:rPr>
        <w:t>.</w:t>
      </w:r>
    </w:p>
    <w:p w14:paraId="4C0179D9" w14:textId="6F89FD2F" w:rsidR="000707A1" w:rsidRPr="0069287B" w:rsidRDefault="000707A1" w:rsidP="000707A1">
      <w:pPr>
        <w:spacing w:after="160"/>
        <w:jc w:val="both"/>
        <w:rPr>
          <w:rFonts w:cs="Times New Roman"/>
          <w:lang w:val="lt-LT"/>
        </w:rPr>
      </w:pPr>
      <w:r w:rsidRPr="0069287B">
        <w:rPr>
          <w:rFonts w:cs="Times New Roman"/>
          <w:lang w:val="lt-LT"/>
        </w:rPr>
        <w:t>EBPO analizėje Lietuva turi ir pozityvų rodiklį – palyginti mažus pensijų kaupimo mokesčius. Jie nuo 1 proc. 2018 m. sumažėjo iki 0,</w:t>
      </w:r>
      <w:r w:rsidR="093E18B1" w:rsidRPr="0069287B">
        <w:rPr>
          <w:rFonts w:cs="Times New Roman"/>
          <w:lang w:val="lt-LT"/>
        </w:rPr>
        <w:t>2</w:t>
      </w:r>
      <w:r w:rsidR="004B47B3" w:rsidRPr="0069287B">
        <w:rPr>
          <w:rFonts w:cs="Times New Roman"/>
          <w:lang w:val="lt-LT"/>
        </w:rPr>
        <w:t>–</w:t>
      </w:r>
      <w:r w:rsidR="093E18B1" w:rsidRPr="0069287B">
        <w:rPr>
          <w:rFonts w:cs="Times New Roman"/>
          <w:lang w:val="lt-LT"/>
        </w:rPr>
        <w:t>0,5</w:t>
      </w:r>
      <w:r w:rsidRPr="0069287B">
        <w:rPr>
          <w:rFonts w:cs="Times New Roman"/>
          <w:lang w:val="lt-LT"/>
        </w:rPr>
        <w:t xml:space="preserve"> proc. 2025 m. Palyginimui, Estijoje šis rodiklis siekia 0,5 proc., Slovėnijoje – 0,8 proc., Ispanijoje – 1,2 proc.</w:t>
      </w:r>
    </w:p>
    <w:p w14:paraId="116D8EDB" w14:textId="6FAC6859" w:rsidR="005075D3" w:rsidRPr="0069287B" w:rsidRDefault="000707A1" w:rsidP="000707A1">
      <w:pPr>
        <w:spacing w:after="160"/>
        <w:jc w:val="both"/>
        <w:rPr>
          <w:rFonts w:cs="Times New Roman"/>
          <w:lang w:val="lt-LT"/>
        </w:rPr>
      </w:pPr>
      <w:r w:rsidRPr="0069287B">
        <w:rPr>
          <w:rFonts w:cs="Times New Roman"/>
          <w:lang w:val="lt-LT"/>
        </w:rPr>
        <w:t>Tačiau ilgalaikėje perspektyvoje svarbus ne tik kaupimo efektyvumas, bet ir jo trukmė. EBPO skaičiavimais, pradėjus papildomai kaupti 45-erių, o ne 22-ejų, tam pačiam pensinių pajamų tikslui pasiekti kasmet reikėtų atidėti maždaug dvigubai didesnę atlyginimo dalį.</w:t>
      </w:r>
    </w:p>
    <w:p w14:paraId="1E798768" w14:textId="77777777" w:rsidR="000D5455" w:rsidRPr="0069287B" w:rsidRDefault="000D5455" w:rsidP="00BA0B28">
      <w:pPr>
        <w:spacing w:after="160"/>
        <w:jc w:val="both"/>
        <w:rPr>
          <w:rFonts w:cs="Times New Roman"/>
          <w:lang w:val="lt-LT"/>
        </w:rPr>
      </w:pPr>
      <w:r w:rsidRPr="0069287B">
        <w:rPr>
          <w:rFonts w:cs="Times New Roman"/>
          <w:lang w:val="lt-LT"/>
        </w:rPr>
        <w:t>Papildomo kaupimo svarbą rodo ir Tarptautinio valiutos fondo prognozės: 2045 m. vidutinė naujai skiriama pensija Lietuvoje gali siekti vos 26,5 proc. vidutinio bruto atlyginimo.</w:t>
      </w:r>
    </w:p>
    <w:p w14:paraId="631D59A1" w14:textId="063B872D" w:rsidR="009D38CE" w:rsidRPr="0069287B" w:rsidRDefault="00E73F2D" w:rsidP="009D38CE">
      <w:pPr>
        <w:spacing w:after="160"/>
        <w:jc w:val="both"/>
        <w:rPr>
          <w:rFonts w:cs="Times New Roman"/>
          <w:lang w:val="lt-LT"/>
        </w:rPr>
      </w:pPr>
      <w:r w:rsidRPr="0069287B">
        <w:rPr>
          <w:rFonts w:cs="Times New Roman"/>
          <w:lang w:val="lt-LT"/>
        </w:rPr>
        <w:t>„Visuomenė sparčiai sensta, todėl pasirūpinti savo finansine ateitimi tampa vis svarbiau. Kuo anksčiau pradedame kaupti, tuo daugiau laiko veikia sudėtinių palūkanų efektas – investicinę grąžą uždirba ne tik įmokėtos lėšos, bet ir ankstesniais metais sukaupta grąža. Taip net ir nedidelės, bet reguliarios įmokos per ilgą laiką gali virsti reikšmingomis santaupomis“, – pabrėžia V. Rūkas.</w:t>
      </w:r>
    </w:p>
    <w:p w14:paraId="0CA863CD" w14:textId="77777777" w:rsidR="004C26F2" w:rsidRPr="0069287B" w:rsidRDefault="004C26F2" w:rsidP="009D38CE">
      <w:pPr>
        <w:spacing w:after="160"/>
        <w:jc w:val="both"/>
        <w:rPr>
          <w:rFonts w:cs="Times New Roman"/>
          <w:lang w:val="lt-LT"/>
        </w:rPr>
      </w:pPr>
    </w:p>
    <w:p w14:paraId="04FA5EDF" w14:textId="53E4D411" w:rsidR="005F59E0" w:rsidRPr="0069287B" w:rsidRDefault="005F59E0" w:rsidP="005F59E0">
      <w:pPr>
        <w:pStyle w:val="NoSpacing"/>
        <w:spacing w:line="360" w:lineRule="auto"/>
        <w:rPr>
          <w:rFonts w:cs="Times New Roman"/>
          <w:b/>
          <w:bCs/>
          <w:lang w:val="lt-LT"/>
        </w:rPr>
      </w:pPr>
      <w:r w:rsidRPr="0069287B">
        <w:rPr>
          <w:rFonts w:cs="Times New Roman"/>
          <w:b/>
          <w:bCs/>
          <w:lang w:val="lt-LT"/>
        </w:rPr>
        <w:t>Daugiau informacijos:</w:t>
      </w:r>
    </w:p>
    <w:p w14:paraId="14163535" w14:textId="77777777" w:rsidR="005F59E0" w:rsidRPr="0069287B" w:rsidRDefault="005F59E0" w:rsidP="005F59E0">
      <w:pPr>
        <w:pStyle w:val="NoSpacing"/>
        <w:rPr>
          <w:rFonts w:cs="Times New Roman"/>
          <w:lang w:val="lt-LT"/>
        </w:rPr>
      </w:pPr>
      <w:r w:rsidRPr="0069287B">
        <w:rPr>
          <w:rFonts w:cs="Times New Roman"/>
          <w:lang w:val="lt-LT"/>
        </w:rPr>
        <w:t xml:space="preserve">Kotryna </w:t>
      </w:r>
      <w:proofErr w:type="spellStart"/>
      <w:r w:rsidRPr="0069287B">
        <w:rPr>
          <w:rFonts w:cs="Times New Roman"/>
          <w:lang w:val="lt-LT"/>
        </w:rPr>
        <w:t>Slobodianikaitė</w:t>
      </w:r>
      <w:proofErr w:type="spellEnd"/>
    </w:p>
    <w:p w14:paraId="3303DB77" w14:textId="77777777" w:rsidR="005F59E0" w:rsidRPr="0069287B" w:rsidRDefault="005F59E0" w:rsidP="005F59E0">
      <w:pPr>
        <w:pStyle w:val="NoSpacing"/>
        <w:rPr>
          <w:rFonts w:cs="Times New Roman"/>
          <w:lang w:val="lt-LT"/>
        </w:rPr>
      </w:pPr>
      <w:r w:rsidRPr="0069287B">
        <w:rPr>
          <w:rFonts w:cs="Times New Roman"/>
          <w:lang w:val="lt-LT"/>
        </w:rPr>
        <w:t>+370 690 71830</w:t>
      </w:r>
    </w:p>
    <w:p w14:paraId="4223204D" w14:textId="5AB5324A" w:rsidR="009C6F2A" w:rsidRPr="0069287B" w:rsidRDefault="005F59E0" w:rsidP="001B3F13">
      <w:pPr>
        <w:pStyle w:val="NoSpacing"/>
        <w:rPr>
          <w:rFonts w:cs="Times New Roman"/>
          <w:lang w:val="lt-LT"/>
        </w:rPr>
      </w:pPr>
      <w:hyperlink r:id="rId7" w:history="1">
        <w:r w:rsidRPr="0069287B">
          <w:rPr>
            <w:rStyle w:val="Hyperlink"/>
            <w:rFonts w:cs="Times New Roman"/>
            <w:lang w:val="lt-LT"/>
          </w:rPr>
          <w:t>info@lipfa.lt</w:t>
        </w:r>
      </w:hyperlink>
    </w:p>
    <w:sectPr w:rsidR="009C6F2A" w:rsidRPr="0069287B">
      <w:headerReference w:type="default" r:id="rId8"/>
      <w:pgSz w:w="11906" w:h="16838"/>
      <w:pgMar w:top="1440" w:right="1440" w:bottom="1440" w:left="144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17519" w14:textId="77777777" w:rsidR="00F9600E" w:rsidRDefault="00F9600E" w:rsidP="00315DE1">
      <w:r>
        <w:separator/>
      </w:r>
    </w:p>
  </w:endnote>
  <w:endnote w:type="continuationSeparator" w:id="0">
    <w:p w14:paraId="7C655715" w14:textId="77777777" w:rsidR="00F9600E" w:rsidRDefault="00F9600E" w:rsidP="00315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Mangal">
    <w:panose1 w:val="00000400000000000000"/>
    <w:charset w:val="01"/>
    <w:family w:val="roman"/>
    <w:pitch w:val="variable"/>
    <w:sig w:usb0="0000A003" w:usb1="00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E7D31" w14:textId="77777777" w:rsidR="00F9600E" w:rsidRDefault="00F9600E" w:rsidP="00315DE1">
      <w:r>
        <w:separator/>
      </w:r>
    </w:p>
  </w:footnote>
  <w:footnote w:type="continuationSeparator" w:id="0">
    <w:p w14:paraId="605CE019" w14:textId="77777777" w:rsidR="00F9600E" w:rsidRDefault="00F9600E" w:rsidP="00315D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81F29" w14:textId="77777777" w:rsidR="0069287B" w:rsidRDefault="0069287B" w:rsidP="00315DE1">
    <w:pPr>
      <w:pStyle w:val="Header"/>
      <w:jc w:val="right"/>
    </w:pPr>
    <w:r>
      <w:rPr>
        <w:noProof/>
      </w:rPr>
      <w:drawing>
        <wp:inline distT="0" distB="0" distL="0" distR="0" wp14:anchorId="6931535A" wp14:editId="24579D4E">
          <wp:extent cx="2392680" cy="388620"/>
          <wp:effectExtent l="0" t="0" r="7620" b="0"/>
          <wp:docPr id="396274517" name="Picture 2" descr="Logo, company name&#10;&#10;Description automatically generated">
            <a:extLst xmlns:a="http://schemas.openxmlformats.org/drawingml/2006/main">
              <a:ext uri="{FF2B5EF4-FFF2-40B4-BE49-F238E27FC236}">
                <a16:creationId xmlns:a16="http://schemas.microsoft.com/office/drawing/2014/main" id="{8588C9C9-83A5-4C35-BCC7-1EB9151F70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ompany nam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2680" cy="3886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6249FA"/>
    <w:multiLevelType w:val="hybridMultilevel"/>
    <w:tmpl w:val="87A8C0A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3221987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324"/>
    <w:rsid w:val="0000202E"/>
    <w:rsid w:val="00002460"/>
    <w:rsid w:val="0000659D"/>
    <w:rsid w:val="000242C3"/>
    <w:rsid w:val="000577B1"/>
    <w:rsid w:val="000607C3"/>
    <w:rsid w:val="00066E1F"/>
    <w:rsid w:val="00070482"/>
    <w:rsid w:val="000707A1"/>
    <w:rsid w:val="00072F35"/>
    <w:rsid w:val="0008087C"/>
    <w:rsid w:val="00084C9C"/>
    <w:rsid w:val="00096464"/>
    <w:rsid w:val="000A4910"/>
    <w:rsid w:val="000B331E"/>
    <w:rsid w:val="000C5F00"/>
    <w:rsid w:val="000D3663"/>
    <w:rsid w:val="000D5455"/>
    <w:rsid w:val="000D7ADE"/>
    <w:rsid w:val="000D7BFC"/>
    <w:rsid w:val="000E2F53"/>
    <w:rsid w:val="00127E2D"/>
    <w:rsid w:val="0014617C"/>
    <w:rsid w:val="00150CB7"/>
    <w:rsid w:val="00155FED"/>
    <w:rsid w:val="00185848"/>
    <w:rsid w:val="001A641B"/>
    <w:rsid w:val="001A755B"/>
    <w:rsid w:val="001B3F13"/>
    <w:rsid w:val="001C0893"/>
    <w:rsid w:val="001C0E81"/>
    <w:rsid w:val="001C146A"/>
    <w:rsid w:val="001C2501"/>
    <w:rsid w:val="001D16B6"/>
    <w:rsid w:val="001E7431"/>
    <w:rsid w:val="002107D6"/>
    <w:rsid w:val="002365D0"/>
    <w:rsid w:val="0023672D"/>
    <w:rsid w:val="0024347E"/>
    <w:rsid w:val="002441BB"/>
    <w:rsid w:val="002453D7"/>
    <w:rsid w:val="00245C67"/>
    <w:rsid w:val="00255C62"/>
    <w:rsid w:val="00263CE3"/>
    <w:rsid w:val="00267738"/>
    <w:rsid w:val="0027482F"/>
    <w:rsid w:val="00275C12"/>
    <w:rsid w:val="0028350E"/>
    <w:rsid w:val="00284288"/>
    <w:rsid w:val="002903CA"/>
    <w:rsid w:val="00295C17"/>
    <w:rsid w:val="002A1221"/>
    <w:rsid w:val="002B04BC"/>
    <w:rsid w:val="002B0BDF"/>
    <w:rsid w:val="002C0165"/>
    <w:rsid w:val="002C1850"/>
    <w:rsid w:val="002D299D"/>
    <w:rsid w:val="002D48F1"/>
    <w:rsid w:val="002D7E6E"/>
    <w:rsid w:val="002E2305"/>
    <w:rsid w:val="002F22A0"/>
    <w:rsid w:val="002F5F32"/>
    <w:rsid w:val="003009ED"/>
    <w:rsid w:val="00315DE1"/>
    <w:rsid w:val="003343B3"/>
    <w:rsid w:val="00341487"/>
    <w:rsid w:val="00345BDC"/>
    <w:rsid w:val="00355031"/>
    <w:rsid w:val="00373515"/>
    <w:rsid w:val="00376897"/>
    <w:rsid w:val="0038296E"/>
    <w:rsid w:val="003847CC"/>
    <w:rsid w:val="00385C7E"/>
    <w:rsid w:val="00390A0C"/>
    <w:rsid w:val="003A68D5"/>
    <w:rsid w:val="003B39E4"/>
    <w:rsid w:val="003D650A"/>
    <w:rsid w:val="003D74E3"/>
    <w:rsid w:val="003E06FC"/>
    <w:rsid w:val="003F273F"/>
    <w:rsid w:val="003F72C9"/>
    <w:rsid w:val="004053C9"/>
    <w:rsid w:val="004232AE"/>
    <w:rsid w:val="00426660"/>
    <w:rsid w:val="00447329"/>
    <w:rsid w:val="004520AE"/>
    <w:rsid w:val="00464879"/>
    <w:rsid w:val="004661D0"/>
    <w:rsid w:val="004757D0"/>
    <w:rsid w:val="0048698E"/>
    <w:rsid w:val="004A2FA2"/>
    <w:rsid w:val="004A710C"/>
    <w:rsid w:val="004B47B3"/>
    <w:rsid w:val="004C26F2"/>
    <w:rsid w:val="004C3861"/>
    <w:rsid w:val="004D19D4"/>
    <w:rsid w:val="004E3BA4"/>
    <w:rsid w:val="004E59BF"/>
    <w:rsid w:val="004F5CC4"/>
    <w:rsid w:val="00506D25"/>
    <w:rsid w:val="005075D3"/>
    <w:rsid w:val="005116B0"/>
    <w:rsid w:val="00540B86"/>
    <w:rsid w:val="00555196"/>
    <w:rsid w:val="005700D8"/>
    <w:rsid w:val="00580D85"/>
    <w:rsid w:val="005A6BF5"/>
    <w:rsid w:val="005C52D8"/>
    <w:rsid w:val="005D0475"/>
    <w:rsid w:val="005D40A0"/>
    <w:rsid w:val="005F3441"/>
    <w:rsid w:val="005F59E0"/>
    <w:rsid w:val="00604727"/>
    <w:rsid w:val="006051BF"/>
    <w:rsid w:val="00613930"/>
    <w:rsid w:val="006224C0"/>
    <w:rsid w:val="006239EE"/>
    <w:rsid w:val="006334F2"/>
    <w:rsid w:val="006466F6"/>
    <w:rsid w:val="006508EE"/>
    <w:rsid w:val="00657BC8"/>
    <w:rsid w:val="00657F9A"/>
    <w:rsid w:val="006768E0"/>
    <w:rsid w:val="00685423"/>
    <w:rsid w:val="0069287B"/>
    <w:rsid w:val="006B1370"/>
    <w:rsid w:val="006E1A2F"/>
    <w:rsid w:val="006E4792"/>
    <w:rsid w:val="00700849"/>
    <w:rsid w:val="00703CC6"/>
    <w:rsid w:val="00712B79"/>
    <w:rsid w:val="00717451"/>
    <w:rsid w:val="00721F9F"/>
    <w:rsid w:val="00733321"/>
    <w:rsid w:val="007417B2"/>
    <w:rsid w:val="00754043"/>
    <w:rsid w:val="007A3455"/>
    <w:rsid w:val="007A54CE"/>
    <w:rsid w:val="007B0F8B"/>
    <w:rsid w:val="007C35B7"/>
    <w:rsid w:val="007C6FB3"/>
    <w:rsid w:val="007D127E"/>
    <w:rsid w:val="007D2DD2"/>
    <w:rsid w:val="007E64F0"/>
    <w:rsid w:val="007E7617"/>
    <w:rsid w:val="007F304E"/>
    <w:rsid w:val="00804874"/>
    <w:rsid w:val="00805AC7"/>
    <w:rsid w:val="00837326"/>
    <w:rsid w:val="00840472"/>
    <w:rsid w:val="008458D8"/>
    <w:rsid w:val="00853DF2"/>
    <w:rsid w:val="0085463D"/>
    <w:rsid w:val="00862463"/>
    <w:rsid w:val="00863F79"/>
    <w:rsid w:val="00872B6B"/>
    <w:rsid w:val="00874A5C"/>
    <w:rsid w:val="008936B3"/>
    <w:rsid w:val="00894DB9"/>
    <w:rsid w:val="00897D16"/>
    <w:rsid w:val="008A4D2C"/>
    <w:rsid w:val="008B081D"/>
    <w:rsid w:val="008B6A44"/>
    <w:rsid w:val="008C5DF7"/>
    <w:rsid w:val="008D7A32"/>
    <w:rsid w:val="008F0ADD"/>
    <w:rsid w:val="008F6F4A"/>
    <w:rsid w:val="00903FAF"/>
    <w:rsid w:val="00917CDD"/>
    <w:rsid w:val="009252A5"/>
    <w:rsid w:val="009273B8"/>
    <w:rsid w:val="00950A34"/>
    <w:rsid w:val="0095111E"/>
    <w:rsid w:val="00972C56"/>
    <w:rsid w:val="009763C5"/>
    <w:rsid w:val="00986824"/>
    <w:rsid w:val="00991A1A"/>
    <w:rsid w:val="009A1B40"/>
    <w:rsid w:val="009A44D5"/>
    <w:rsid w:val="009A51A4"/>
    <w:rsid w:val="009C2895"/>
    <w:rsid w:val="009C6F2A"/>
    <w:rsid w:val="009D38CE"/>
    <w:rsid w:val="009E38E0"/>
    <w:rsid w:val="00A00FF3"/>
    <w:rsid w:val="00A010E3"/>
    <w:rsid w:val="00A01AFD"/>
    <w:rsid w:val="00A046F9"/>
    <w:rsid w:val="00A102CA"/>
    <w:rsid w:val="00A163A9"/>
    <w:rsid w:val="00A168BE"/>
    <w:rsid w:val="00A34D5A"/>
    <w:rsid w:val="00A43A30"/>
    <w:rsid w:val="00A76952"/>
    <w:rsid w:val="00A81D31"/>
    <w:rsid w:val="00A83AE8"/>
    <w:rsid w:val="00AB067E"/>
    <w:rsid w:val="00AB4F7A"/>
    <w:rsid w:val="00AC4E47"/>
    <w:rsid w:val="00AD16CA"/>
    <w:rsid w:val="00AD3E19"/>
    <w:rsid w:val="00AE31C0"/>
    <w:rsid w:val="00B05AFB"/>
    <w:rsid w:val="00B1186E"/>
    <w:rsid w:val="00B131E3"/>
    <w:rsid w:val="00B17516"/>
    <w:rsid w:val="00B25EFD"/>
    <w:rsid w:val="00B36D16"/>
    <w:rsid w:val="00B4159D"/>
    <w:rsid w:val="00B46CAA"/>
    <w:rsid w:val="00B5225E"/>
    <w:rsid w:val="00B6061A"/>
    <w:rsid w:val="00B606BD"/>
    <w:rsid w:val="00B61AFA"/>
    <w:rsid w:val="00B96F26"/>
    <w:rsid w:val="00BA0B28"/>
    <w:rsid w:val="00BC569E"/>
    <w:rsid w:val="00BC68A5"/>
    <w:rsid w:val="00BE3D88"/>
    <w:rsid w:val="00BE5BF6"/>
    <w:rsid w:val="00BF3CB1"/>
    <w:rsid w:val="00C02416"/>
    <w:rsid w:val="00C157DF"/>
    <w:rsid w:val="00C220A9"/>
    <w:rsid w:val="00C62A2A"/>
    <w:rsid w:val="00C72549"/>
    <w:rsid w:val="00C73256"/>
    <w:rsid w:val="00C813FE"/>
    <w:rsid w:val="00C85F60"/>
    <w:rsid w:val="00CA2B5E"/>
    <w:rsid w:val="00CA52B9"/>
    <w:rsid w:val="00CA7965"/>
    <w:rsid w:val="00CB3411"/>
    <w:rsid w:val="00CB6397"/>
    <w:rsid w:val="00CB7FD7"/>
    <w:rsid w:val="00CC4829"/>
    <w:rsid w:val="00CC6785"/>
    <w:rsid w:val="00CD18AB"/>
    <w:rsid w:val="00CD3DDE"/>
    <w:rsid w:val="00CD5A3A"/>
    <w:rsid w:val="00CE5680"/>
    <w:rsid w:val="00CF005F"/>
    <w:rsid w:val="00CF311E"/>
    <w:rsid w:val="00CF463E"/>
    <w:rsid w:val="00D01111"/>
    <w:rsid w:val="00D1162B"/>
    <w:rsid w:val="00D12692"/>
    <w:rsid w:val="00D307CD"/>
    <w:rsid w:val="00D4234B"/>
    <w:rsid w:val="00D44806"/>
    <w:rsid w:val="00D45FE8"/>
    <w:rsid w:val="00D461B5"/>
    <w:rsid w:val="00D551BC"/>
    <w:rsid w:val="00D85014"/>
    <w:rsid w:val="00D8726C"/>
    <w:rsid w:val="00D90B5F"/>
    <w:rsid w:val="00DB5B58"/>
    <w:rsid w:val="00DB78B0"/>
    <w:rsid w:val="00DE0DFE"/>
    <w:rsid w:val="00DE4405"/>
    <w:rsid w:val="00DF5A5A"/>
    <w:rsid w:val="00E03BE8"/>
    <w:rsid w:val="00E04505"/>
    <w:rsid w:val="00E22D8E"/>
    <w:rsid w:val="00E42E40"/>
    <w:rsid w:val="00E6029B"/>
    <w:rsid w:val="00E63AC6"/>
    <w:rsid w:val="00E73F2D"/>
    <w:rsid w:val="00E821D0"/>
    <w:rsid w:val="00E8573D"/>
    <w:rsid w:val="00E87299"/>
    <w:rsid w:val="00EB0910"/>
    <w:rsid w:val="00EB2149"/>
    <w:rsid w:val="00EB4DE2"/>
    <w:rsid w:val="00ED355B"/>
    <w:rsid w:val="00EF50A7"/>
    <w:rsid w:val="00EF57C2"/>
    <w:rsid w:val="00EF591C"/>
    <w:rsid w:val="00EF6DFF"/>
    <w:rsid w:val="00EF70E4"/>
    <w:rsid w:val="00F45667"/>
    <w:rsid w:val="00F54822"/>
    <w:rsid w:val="00F55DCC"/>
    <w:rsid w:val="00F56555"/>
    <w:rsid w:val="00F569DB"/>
    <w:rsid w:val="00F6044B"/>
    <w:rsid w:val="00F61DA5"/>
    <w:rsid w:val="00F75C8D"/>
    <w:rsid w:val="00F77324"/>
    <w:rsid w:val="00F77CAD"/>
    <w:rsid w:val="00F82103"/>
    <w:rsid w:val="00F9600E"/>
    <w:rsid w:val="00FA546F"/>
    <w:rsid w:val="00FB2E4A"/>
    <w:rsid w:val="00FB7567"/>
    <w:rsid w:val="00FD007B"/>
    <w:rsid w:val="00FD40D2"/>
    <w:rsid w:val="00FD71FB"/>
    <w:rsid w:val="00FE0C1C"/>
    <w:rsid w:val="00FF6210"/>
    <w:rsid w:val="093E18B1"/>
    <w:rsid w:val="0DBA0144"/>
    <w:rsid w:val="0E58FCFB"/>
    <w:rsid w:val="10F7415A"/>
    <w:rsid w:val="11381497"/>
    <w:rsid w:val="13BE1EEB"/>
    <w:rsid w:val="144720F0"/>
    <w:rsid w:val="14FE8A31"/>
    <w:rsid w:val="1514ABAF"/>
    <w:rsid w:val="170F0778"/>
    <w:rsid w:val="1DF6B184"/>
    <w:rsid w:val="20968A30"/>
    <w:rsid w:val="27CC86F0"/>
    <w:rsid w:val="2C553038"/>
    <w:rsid w:val="2EDD6D58"/>
    <w:rsid w:val="35FE2202"/>
    <w:rsid w:val="3604DBA0"/>
    <w:rsid w:val="3D308934"/>
    <w:rsid w:val="41F36197"/>
    <w:rsid w:val="43AFE104"/>
    <w:rsid w:val="515A197D"/>
    <w:rsid w:val="523BAD52"/>
    <w:rsid w:val="523DDB9B"/>
    <w:rsid w:val="56CEBA48"/>
    <w:rsid w:val="578829D9"/>
    <w:rsid w:val="5A29EA4C"/>
    <w:rsid w:val="5A479199"/>
    <w:rsid w:val="5E873F67"/>
    <w:rsid w:val="66F15F04"/>
    <w:rsid w:val="73B46967"/>
    <w:rsid w:val="7ECAB64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6C06E"/>
  <w15:chartTrackingRefBased/>
  <w15:docId w15:val="{9151AB8C-4960-413F-9368-D3CCD41C3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952"/>
    <w:pPr>
      <w:widowControl w:val="0"/>
      <w:suppressAutoHyphens/>
      <w:spacing w:after="0" w:line="240" w:lineRule="auto"/>
    </w:pPr>
    <w:rPr>
      <w:rFonts w:ascii="Times New Roman" w:eastAsia="SimSun" w:hAnsi="Times New Roman" w:cs="Arial"/>
      <w:kern w:val="1"/>
      <w:sz w:val="24"/>
      <w:szCs w:val="24"/>
      <w:lang w:val="en-US" w:eastAsia="hi-IN" w:bidi="hi-IN"/>
      <w14:ligatures w14:val="none"/>
    </w:rPr>
  </w:style>
  <w:style w:type="paragraph" w:styleId="Heading1">
    <w:name w:val="heading 1"/>
    <w:basedOn w:val="Normal"/>
    <w:next w:val="Normal"/>
    <w:link w:val="Heading1Char"/>
    <w:uiPriority w:val="9"/>
    <w:qFormat/>
    <w:rsid w:val="00F77324"/>
    <w:pPr>
      <w:keepNext/>
      <w:keepLines/>
      <w:widowControl/>
      <w:suppressAutoHyphens w:val="0"/>
      <w:spacing w:before="360" w:after="80" w:line="259" w:lineRule="auto"/>
      <w:outlineLvl w:val="0"/>
    </w:pPr>
    <w:rPr>
      <w:rFonts w:asciiTheme="majorHAnsi" w:eastAsiaTheme="majorEastAsia" w:hAnsiTheme="majorHAnsi" w:cstheme="majorBidi"/>
      <w:color w:val="0F4761" w:themeColor="accent1" w:themeShade="BF"/>
      <w:kern w:val="2"/>
      <w:sz w:val="40"/>
      <w:szCs w:val="40"/>
      <w:lang w:val="lt-LT" w:eastAsia="en-US" w:bidi="ar-SA"/>
      <w14:ligatures w14:val="standardContextual"/>
    </w:rPr>
  </w:style>
  <w:style w:type="paragraph" w:styleId="Heading2">
    <w:name w:val="heading 2"/>
    <w:basedOn w:val="Normal"/>
    <w:next w:val="Normal"/>
    <w:link w:val="Heading2Char"/>
    <w:uiPriority w:val="9"/>
    <w:semiHidden/>
    <w:unhideWhenUsed/>
    <w:qFormat/>
    <w:rsid w:val="00F77324"/>
    <w:pPr>
      <w:keepNext/>
      <w:keepLines/>
      <w:widowControl/>
      <w:suppressAutoHyphens w:val="0"/>
      <w:spacing w:before="160" w:after="80" w:line="259" w:lineRule="auto"/>
      <w:outlineLvl w:val="1"/>
    </w:pPr>
    <w:rPr>
      <w:rFonts w:asciiTheme="majorHAnsi" w:eastAsiaTheme="majorEastAsia" w:hAnsiTheme="majorHAnsi" w:cstheme="majorBidi"/>
      <w:color w:val="0F4761" w:themeColor="accent1" w:themeShade="BF"/>
      <w:kern w:val="2"/>
      <w:sz w:val="32"/>
      <w:szCs w:val="32"/>
      <w:lang w:val="lt-LT" w:eastAsia="en-US" w:bidi="ar-SA"/>
      <w14:ligatures w14:val="standardContextual"/>
    </w:rPr>
  </w:style>
  <w:style w:type="paragraph" w:styleId="Heading3">
    <w:name w:val="heading 3"/>
    <w:basedOn w:val="Normal"/>
    <w:next w:val="Normal"/>
    <w:link w:val="Heading3Char"/>
    <w:uiPriority w:val="9"/>
    <w:semiHidden/>
    <w:unhideWhenUsed/>
    <w:qFormat/>
    <w:rsid w:val="00F77324"/>
    <w:pPr>
      <w:keepNext/>
      <w:keepLines/>
      <w:widowControl/>
      <w:suppressAutoHyphens w:val="0"/>
      <w:spacing w:before="160" w:after="80" w:line="259" w:lineRule="auto"/>
      <w:outlineLvl w:val="2"/>
    </w:pPr>
    <w:rPr>
      <w:rFonts w:asciiTheme="minorHAnsi" w:eastAsiaTheme="majorEastAsia" w:hAnsiTheme="minorHAnsi" w:cstheme="majorBidi"/>
      <w:color w:val="0F4761" w:themeColor="accent1" w:themeShade="BF"/>
      <w:kern w:val="2"/>
      <w:sz w:val="28"/>
      <w:szCs w:val="28"/>
      <w:lang w:val="lt-LT" w:eastAsia="en-US" w:bidi="ar-SA"/>
      <w14:ligatures w14:val="standardContextual"/>
    </w:rPr>
  </w:style>
  <w:style w:type="paragraph" w:styleId="Heading4">
    <w:name w:val="heading 4"/>
    <w:basedOn w:val="Normal"/>
    <w:next w:val="Normal"/>
    <w:link w:val="Heading4Char"/>
    <w:uiPriority w:val="9"/>
    <w:semiHidden/>
    <w:unhideWhenUsed/>
    <w:qFormat/>
    <w:rsid w:val="00F77324"/>
    <w:pPr>
      <w:keepNext/>
      <w:keepLines/>
      <w:widowControl/>
      <w:suppressAutoHyphens w:val="0"/>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val="lt-LT" w:eastAsia="en-US" w:bidi="ar-SA"/>
      <w14:ligatures w14:val="standardContextual"/>
    </w:rPr>
  </w:style>
  <w:style w:type="paragraph" w:styleId="Heading5">
    <w:name w:val="heading 5"/>
    <w:basedOn w:val="Normal"/>
    <w:next w:val="Normal"/>
    <w:link w:val="Heading5Char"/>
    <w:uiPriority w:val="9"/>
    <w:semiHidden/>
    <w:unhideWhenUsed/>
    <w:qFormat/>
    <w:rsid w:val="00F77324"/>
    <w:pPr>
      <w:keepNext/>
      <w:keepLines/>
      <w:widowControl/>
      <w:suppressAutoHyphens w:val="0"/>
      <w:spacing w:before="80" w:after="40" w:line="259" w:lineRule="auto"/>
      <w:outlineLvl w:val="4"/>
    </w:pPr>
    <w:rPr>
      <w:rFonts w:asciiTheme="minorHAnsi" w:eastAsiaTheme="majorEastAsia" w:hAnsiTheme="minorHAnsi" w:cstheme="majorBidi"/>
      <w:color w:val="0F4761" w:themeColor="accent1" w:themeShade="BF"/>
      <w:kern w:val="2"/>
      <w:sz w:val="22"/>
      <w:szCs w:val="22"/>
      <w:lang w:val="lt-LT" w:eastAsia="en-US" w:bidi="ar-SA"/>
      <w14:ligatures w14:val="standardContextual"/>
    </w:rPr>
  </w:style>
  <w:style w:type="paragraph" w:styleId="Heading6">
    <w:name w:val="heading 6"/>
    <w:basedOn w:val="Normal"/>
    <w:next w:val="Normal"/>
    <w:link w:val="Heading6Char"/>
    <w:uiPriority w:val="9"/>
    <w:semiHidden/>
    <w:unhideWhenUsed/>
    <w:qFormat/>
    <w:rsid w:val="00F77324"/>
    <w:pPr>
      <w:keepNext/>
      <w:keepLines/>
      <w:widowControl/>
      <w:suppressAutoHyphens w:val="0"/>
      <w:spacing w:before="40" w:line="259" w:lineRule="auto"/>
      <w:outlineLvl w:val="5"/>
    </w:pPr>
    <w:rPr>
      <w:rFonts w:asciiTheme="minorHAnsi" w:eastAsiaTheme="majorEastAsia" w:hAnsiTheme="minorHAnsi" w:cstheme="majorBidi"/>
      <w:i/>
      <w:iCs/>
      <w:color w:val="595959" w:themeColor="text1" w:themeTint="A6"/>
      <w:kern w:val="2"/>
      <w:sz w:val="22"/>
      <w:szCs w:val="22"/>
      <w:lang w:val="lt-LT" w:eastAsia="en-US" w:bidi="ar-SA"/>
      <w14:ligatures w14:val="standardContextual"/>
    </w:rPr>
  </w:style>
  <w:style w:type="paragraph" w:styleId="Heading7">
    <w:name w:val="heading 7"/>
    <w:basedOn w:val="Normal"/>
    <w:next w:val="Normal"/>
    <w:link w:val="Heading7Char"/>
    <w:uiPriority w:val="9"/>
    <w:semiHidden/>
    <w:unhideWhenUsed/>
    <w:qFormat/>
    <w:rsid w:val="00F77324"/>
    <w:pPr>
      <w:keepNext/>
      <w:keepLines/>
      <w:widowControl/>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val="lt-LT" w:eastAsia="en-US" w:bidi="ar-SA"/>
      <w14:ligatures w14:val="standardContextual"/>
    </w:rPr>
  </w:style>
  <w:style w:type="paragraph" w:styleId="Heading8">
    <w:name w:val="heading 8"/>
    <w:basedOn w:val="Normal"/>
    <w:next w:val="Normal"/>
    <w:link w:val="Heading8Char"/>
    <w:uiPriority w:val="9"/>
    <w:semiHidden/>
    <w:unhideWhenUsed/>
    <w:qFormat/>
    <w:rsid w:val="00F77324"/>
    <w:pPr>
      <w:keepNext/>
      <w:keepLines/>
      <w:widowControl/>
      <w:suppressAutoHyphens w:val="0"/>
      <w:spacing w:line="259" w:lineRule="auto"/>
      <w:outlineLvl w:val="7"/>
    </w:pPr>
    <w:rPr>
      <w:rFonts w:asciiTheme="minorHAnsi" w:eastAsiaTheme="majorEastAsia" w:hAnsiTheme="minorHAnsi" w:cstheme="majorBidi"/>
      <w:i/>
      <w:iCs/>
      <w:color w:val="272727" w:themeColor="text1" w:themeTint="D8"/>
      <w:kern w:val="2"/>
      <w:sz w:val="22"/>
      <w:szCs w:val="22"/>
      <w:lang w:val="lt-LT" w:eastAsia="en-US" w:bidi="ar-SA"/>
      <w14:ligatures w14:val="standardContextual"/>
    </w:rPr>
  </w:style>
  <w:style w:type="paragraph" w:styleId="Heading9">
    <w:name w:val="heading 9"/>
    <w:basedOn w:val="Normal"/>
    <w:next w:val="Normal"/>
    <w:link w:val="Heading9Char"/>
    <w:uiPriority w:val="9"/>
    <w:semiHidden/>
    <w:unhideWhenUsed/>
    <w:qFormat/>
    <w:rsid w:val="00F77324"/>
    <w:pPr>
      <w:keepNext/>
      <w:keepLines/>
      <w:widowControl/>
      <w:suppressAutoHyphens w:val="0"/>
      <w:spacing w:line="259" w:lineRule="auto"/>
      <w:outlineLvl w:val="8"/>
    </w:pPr>
    <w:rPr>
      <w:rFonts w:asciiTheme="minorHAnsi" w:eastAsiaTheme="majorEastAsia" w:hAnsiTheme="minorHAnsi" w:cstheme="majorBidi"/>
      <w:color w:val="272727" w:themeColor="text1" w:themeTint="D8"/>
      <w:kern w:val="2"/>
      <w:sz w:val="22"/>
      <w:szCs w:val="22"/>
      <w:lang w:val="lt-LT" w:eastAsia="en-US" w:bidi="ar-S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3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73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73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73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73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73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73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73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7324"/>
    <w:rPr>
      <w:rFonts w:eastAsiaTheme="majorEastAsia" w:cstheme="majorBidi"/>
      <w:color w:val="272727" w:themeColor="text1" w:themeTint="D8"/>
    </w:rPr>
  </w:style>
  <w:style w:type="paragraph" w:styleId="Title">
    <w:name w:val="Title"/>
    <w:basedOn w:val="Normal"/>
    <w:next w:val="Normal"/>
    <w:link w:val="TitleChar"/>
    <w:uiPriority w:val="10"/>
    <w:qFormat/>
    <w:rsid w:val="00F77324"/>
    <w:pPr>
      <w:widowControl/>
      <w:suppressAutoHyphens w:val="0"/>
      <w:spacing w:after="80"/>
      <w:contextualSpacing/>
    </w:pPr>
    <w:rPr>
      <w:rFonts w:asciiTheme="majorHAnsi" w:eastAsiaTheme="majorEastAsia" w:hAnsiTheme="majorHAnsi" w:cstheme="majorBidi"/>
      <w:spacing w:val="-10"/>
      <w:kern w:val="28"/>
      <w:sz w:val="56"/>
      <w:szCs w:val="56"/>
      <w:lang w:val="lt-LT" w:eastAsia="en-US" w:bidi="ar-SA"/>
      <w14:ligatures w14:val="standardContextual"/>
    </w:rPr>
  </w:style>
  <w:style w:type="character" w:customStyle="1" w:styleId="TitleChar">
    <w:name w:val="Title Char"/>
    <w:basedOn w:val="DefaultParagraphFont"/>
    <w:link w:val="Title"/>
    <w:uiPriority w:val="10"/>
    <w:rsid w:val="00F773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7324"/>
    <w:pPr>
      <w:widowControl/>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val="lt-LT" w:eastAsia="en-US" w:bidi="ar-SA"/>
      <w14:ligatures w14:val="standardContextual"/>
    </w:rPr>
  </w:style>
  <w:style w:type="character" w:customStyle="1" w:styleId="SubtitleChar">
    <w:name w:val="Subtitle Char"/>
    <w:basedOn w:val="DefaultParagraphFont"/>
    <w:link w:val="Subtitle"/>
    <w:uiPriority w:val="11"/>
    <w:rsid w:val="00F773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7324"/>
    <w:pPr>
      <w:widowControl/>
      <w:suppressAutoHyphens w:val="0"/>
      <w:spacing w:before="160" w:after="160" w:line="259" w:lineRule="auto"/>
      <w:jc w:val="center"/>
    </w:pPr>
    <w:rPr>
      <w:rFonts w:asciiTheme="minorHAnsi" w:eastAsiaTheme="minorHAnsi" w:hAnsiTheme="minorHAnsi" w:cstheme="minorBidi"/>
      <w:i/>
      <w:iCs/>
      <w:color w:val="404040" w:themeColor="text1" w:themeTint="BF"/>
      <w:kern w:val="2"/>
      <w:sz w:val="22"/>
      <w:szCs w:val="22"/>
      <w:lang w:val="lt-LT" w:eastAsia="en-US" w:bidi="ar-SA"/>
      <w14:ligatures w14:val="standardContextual"/>
    </w:rPr>
  </w:style>
  <w:style w:type="character" w:customStyle="1" w:styleId="QuoteChar">
    <w:name w:val="Quote Char"/>
    <w:basedOn w:val="DefaultParagraphFont"/>
    <w:link w:val="Quote"/>
    <w:uiPriority w:val="29"/>
    <w:rsid w:val="00F77324"/>
    <w:rPr>
      <w:i/>
      <w:iCs/>
      <w:color w:val="404040" w:themeColor="text1" w:themeTint="BF"/>
    </w:rPr>
  </w:style>
  <w:style w:type="paragraph" w:styleId="ListParagraph">
    <w:name w:val="List Paragraph"/>
    <w:basedOn w:val="Normal"/>
    <w:uiPriority w:val="34"/>
    <w:qFormat/>
    <w:rsid w:val="00F77324"/>
    <w:pPr>
      <w:widowControl/>
      <w:suppressAutoHyphens w:val="0"/>
      <w:spacing w:after="160" w:line="259" w:lineRule="auto"/>
      <w:ind w:left="720"/>
      <w:contextualSpacing/>
    </w:pPr>
    <w:rPr>
      <w:rFonts w:asciiTheme="minorHAnsi" w:eastAsiaTheme="minorHAnsi" w:hAnsiTheme="minorHAnsi" w:cstheme="minorBidi"/>
      <w:kern w:val="2"/>
      <w:sz w:val="22"/>
      <w:szCs w:val="22"/>
      <w:lang w:val="lt-LT" w:eastAsia="en-US" w:bidi="ar-SA"/>
      <w14:ligatures w14:val="standardContextual"/>
    </w:rPr>
  </w:style>
  <w:style w:type="character" w:styleId="IntenseEmphasis">
    <w:name w:val="Intense Emphasis"/>
    <w:basedOn w:val="DefaultParagraphFont"/>
    <w:uiPriority w:val="21"/>
    <w:qFormat/>
    <w:rsid w:val="00F77324"/>
    <w:rPr>
      <w:i/>
      <w:iCs/>
      <w:color w:val="0F4761" w:themeColor="accent1" w:themeShade="BF"/>
    </w:rPr>
  </w:style>
  <w:style w:type="paragraph" w:styleId="IntenseQuote">
    <w:name w:val="Intense Quote"/>
    <w:basedOn w:val="Normal"/>
    <w:next w:val="Normal"/>
    <w:link w:val="IntenseQuoteChar"/>
    <w:uiPriority w:val="30"/>
    <w:qFormat/>
    <w:rsid w:val="00F77324"/>
    <w:pPr>
      <w:widowControl/>
      <w:pBdr>
        <w:top w:val="single" w:sz="4" w:space="10" w:color="0F4761" w:themeColor="accent1" w:themeShade="BF"/>
        <w:bottom w:val="single" w:sz="4" w:space="10" w:color="0F4761"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val="lt-LT" w:eastAsia="en-US" w:bidi="ar-SA"/>
      <w14:ligatures w14:val="standardContextual"/>
    </w:rPr>
  </w:style>
  <w:style w:type="character" w:customStyle="1" w:styleId="IntenseQuoteChar">
    <w:name w:val="Intense Quote Char"/>
    <w:basedOn w:val="DefaultParagraphFont"/>
    <w:link w:val="IntenseQuote"/>
    <w:uiPriority w:val="30"/>
    <w:rsid w:val="00F77324"/>
    <w:rPr>
      <w:i/>
      <w:iCs/>
      <w:color w:val="0F4761" w:themeColor="accent1" w:themeShade="BF"/>
    </w:rPr>
  </w:style>
  <w:style w:type="character" w:styleId="IntenseReference">
    <w:name w:val="Intense Reference"/>
    <w:basedOn w:val="DefaultParagraphFont"/>
    <w:uiPriority w:val="32"/>
    <w:qFormat/>
    <w:rsid w:val="00F77324"/>
    <w:rPr>
      <w:b/>
      <w:bCs/>
      <w:smallCaps/>
      <w:color w:val="0F4761" w:themeColor="accent1" w:themeShade="BF"/>
      <w:spacing w:val="5"/>
    </w:rPr>
  </w:style>
  <w:style w:type="paragraph" w:styleId="Header">
    <w:name w:val="header"/>
    <w:basedOn w:val="Normal"/>
    <w:link w:val="HeaderChar"/>
    <w:uiPriority w:val="99"/>
    <w:unhideWhenUsed/>
    <w:rsid w:val="00315DE1"/>
    <w:pPr>
      <w:widowControl/>
      <w:tabs>
        <w:tab w:val="center" w:pos="4513"/>
        <w:tab w:val="right" w:pos="9026"/>
      </w:tabs>
      <w:suppressAutoHyphens w:val="0"/>
    </w:pPr>
    <w:rPr>
      <w:rFonts w:asciiTheme="minorHAnsi" w:eastAsiaTheme="minorHAnsi" w:hAnsiTheme="minorHAnsi" w:cstheme="minorBidi"/>
      <w:kern w:val="2"/>
      <w:sz w:val="22"/>
      <w:szCs w:val="22"/>
      <w:lang w:val="lt-LT" w:eastAsia="en-US" w:bidi="ar-SA"/>
      <w14:ligatures w14:val="standardContextual"/>
    </w:rPr>
  </w:style>
  <w:style w:type="character" w:customStyle="1" w:styleId="HeaderChar">
    <w:name w:val="Header Char"/>
    <w:basedOn w:val="DefaultParagraphFont"/>
    <w:link w:val="Header"/>
    <w:uiPriority w:val="99"/>
    <w:rsid w:val="00315DE1"/>
  </w:style>
  <w:style w:type="paragraph" w:styleId="Footer">
    <w:name w:val="footer"/>
    <w:basedOn w:val="Normal"/>
    <w:link w:val="FooterChar"/>
    <w:uiPriority w:val="99"/>
    <w:unhideWhenUsed/>
    <w:rsid w:val="00315DE1"/>
    <w:pPr>
      <w:widowControl/>
      <w:tabs>
        <w:tab w:val="center" w:pos="4513"/>
        <w:tab w:val="right" w:pos="9026"/>
      </w:tabs>
      <w:suppressAutoHyphens w:val="0"/>
    </w:pPr>
    <w:rPr>
      <w:rFonts w:asciiTheme="minorHAnsi" w:eastAsiaTheme="minorHAnsi" w:hAnsiTheme="minorHAnsi" w:cstheme="minorBidi"/>
      <w:kern w:val="2"/>
      <w:sz w:val="22"/>
      <w:szCs w:val="22"/>
      <w:lang w:val="lt-LT" w:eastAsia="en-US" w:bidi="ar-SA"/>
      <w14:ligatures w14:val="standardContextual"/>
    </w:rPr>
  </w:style>
  <w:style w:type="character" w:customStyle="1" w:styleId="FooterChar">
    <w:name w:val="Footer Char"/>
    <w:basedOn w:val="DefaultParagraphFont"/>
    <w:link w:val="Footer"/>
    <w:uiPriority w:val="99"/>
    <w:rsid w:val="00315DE1"/>
  </w:style>
  <w:style w:type="character" w:styleId="Hyperlink">
    <w:name w:val="Hyperlink"/>
    <w:basedOn w:val="DefaultParagraphFont"/>
    <w:uiPriority w:val="99"/>
    <w:unhideWhenUsed/>
    <w:rsid w:val="009C6F2A"/>
    <w:rPr>
      <w:color w:val="467886" w:themeColor="hyperlink"/>
      <w:u w:val="single"/>
    </w:rPr>
  </w:style>
  <w:style w:type="character" w:styleId="UnresolvedMention">
    <w:name w:val="Unresolved Mention"/>
    <w:basedOn w:val="DefaultParagraphFont"/>
    <w:uiPriority w:val="99"/>
    <w:semiHidden/>
    <w:unhideWhenUsed/>
    <w:rsid w:val="009C6F2A"/>
    <w:rPr>
      <w:color w:val="605E5C"/>
      <w:shd w:val="clear" w:color="auto" w:fill="E1DFDD"/>
    </w:rPr>
  </w:style>
  <w:style w:type="paragraph" w:styleId="NoSpacing">
    <w:name w:val="No Spacing"/>
    <w:uiPriority w:val="1"/>
    <w:qFormat/>
    <w:rsid w:val="001B3F13"/>
    <w:pPr>
      <w:widowControl w:val="0"/>
      <w:suppressAutoHyphens/>
      <w:spacing w:after="0" w:line="240" w:lineRule="auto"/>
    </w:pPr>
    <w:rPr>
      <w:rFonts w:ascii="Times New Roman" w:eastAsia="SimSun" w:hAnsi="Times New Roman" w:cs="Mangal"/>
      <w:kern w:val="1"/>
      <w:sz w:val="24"/>
      <w:szCs w:val="21"/>
      <w:lang w:val="en-US" w:eastAsia="hi-IN" w:bidi="hi-IN"/>
      <w14:ligatures w14:val="none"/>
    </w:rPr>
  </w:style>
  <w:style w:type="paragraph" w:styleId="Revision">
    <w:name w:val="Revision"/>
    <w:hidden/>
    <w:uiPriority w:val="99"/>
    <w:semiHidden/>
    <w:rsid w:val="00657BC8"/>
    <w:pPr>
      <w:spacing w:after="0" w:line="240" w:lineRule="auto"/>
    </w:pPr>
    <w:rPr>
      <w:rFonts w:ascii="Times New Roman" w:eastAsia="SimSun" w:hAnsi="Times New Roman" w:cs="Mangal"/>
      <w:kern w:val="1"/>
      <w:sz w:val="24"/>
      <w:szCs w:val="21"/>
      <w:lang w:val="en-US" w:eastAsia="hi-IN" w:bidi="hi-IN"/>
      <w14:ligatures w14:val="none"/>
    </w:rPr>
  </w:style>
  <w:style w:type="paragraph" w:styleId="CommentText">
    <w:name w:val="annotation text"/>
    <w:basedOn w:val="Normal"/>
    <w:link w:val="CommentTextChar"/>
    <w:uiPriority w:val="99"/>
    <w:semiHidden/>
    <w:unhideWhenUsed/>
    <w:rPr>
      <w:rFonts w:cs="Mangal"/>
      <w:sz w:val="20"/>
      <w:szCs w:val="18"/>
    </w:rPr>
  </w:style>
  <w:style w:type="character" w:customStyle="1" w:styleId="CommentTextChar">
    <w:name w:val="Comment Text Char"/>
    <w:basedOn w:val="DefaultParagraphFont"/>
    <w:link w:val="CommentText"/>
    <w:uiPriority w:val="99"/>
    <w:semiHidden/>
    <w:rPr>
      <w:rFonts w:ascii="Times New Roman" w:eastAsia="SimSun" w:hAnsi="Times New Roman" w:cs="Mangal"/>
      <w:kern w:val="1"/>
      <w:sz w:val="20"/>
      <w:szCs w:val="18"/>
      <w:lang w:val="en-US" w:eastAsia="hi-IN" w:bidi="hi-IN"/>
      <w14:ligatures w14:val="none"/>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fo@lipf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818</Words>
  <Characters>4665</Characters>
  <Application>Microsoft Office Word</Application>
  <DocSecurity>4</DocSecurity>
  <Lines>38</Lines>
  <Paragraphs>10</Paragraphs>
  <ScaleCrop>false</ScaleCrop>
  <Company/>
  <LinksUpToDate>false</LinksUpToDate>
  <CharactersWithSpaces>5473</CharactersWithSpaces>
  <SharedDoc>false</SharedDoc>
  <HLinks>
    <vt:vector size="6" baseType="variant">
      <vt:variant>
        <vt:i4>7864410</vt:i4>
      </vt:variant>
      <vt:variant>
        <vt:i4>0</vt:i4>
      </vt:variant>
      <vt:variant>
        <vt:i4>0</vt:i4>
      </vt:variant>
      <vt:variant>
        <vt:i4>5</vt:i4>
      </vt:variant>
      <vt:variant>
        <vt:lpwstr>mailto:info@lipfa.lt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Severa Augusta Lukošaitytė</dc:creator>
  <cp:keywords/>
  <dc:description/>
  <cp:lastModifiedBy>Guest User</cp:lastModifiedBy>
  <cp:revision>227</cp:revision>
  <dcterms:created xsi:type="dcterms:W3CDTF">2025-09-30T06:50:00Z</dcterms:created>
  <dcterms:modified xsi:type="dcterms:W3CDTF">2026-11-06T09:20:00Z</dcterms:modified>
</cp:coreProperties>
</file>